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43C" w:rsidRPr="001B2BBC" w:rsidRDefault="00833D7D">
      <w:pPr>
        <w:pStyle w:val="Corpodetexto"/>
        <w:rPr>
          <w:rFonts w:ascii="Times New Roman"/>
          <w:lang w:val="pt-BR"/>
        </w:rPr>
      </w:pPr>
      <w:r>
        <w:rPr>
          <w:noProof/>
          <w:lang w:val="pt-BR" w:eastAsia="pt-BR" w:bidi="ar-SA"/>
        </w:rPr>
        <mc:AlternateContent>
          <mc:Choice Requires="wpg">
            <w:drawing>
              <wp:anchor distT="0" distB="0" distL="114300" distR="114300" simplePos="0" relativeHeight="251236352" behindDoc="1" locked="0" layoutInCell="1" allowOverlap="1">
                <wp:simplePos x="0" y="0"/>
                <wp:positionH relativeFrom="page">
                  <wp:posOffset>-295275</wp:posOffset>
                </wp:positionH>
                <wp:positionV relativeFrom="page">
                  <wp:posOffset>-838200</wp:posOffset>
                </wp:positionV>
                <wp:extent cx="7686675" cy="14030325"/>
                <wp:effectExtent l="0" t="0" r="9525" b="9525"/>
                <wp:wrapNone/>
                <wp:docPr id="2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6675" cy="14030325"/>
                          <a:chOff x="53" y="1202"/>
                          <a:chExt cx="11520" cy="10166"/>
                        </a:xfrm>
                      </wpg:grpSpPr>
                      <pic:pic xmlns:pic="http://schemas.openxmlformats.org/drawingml/2006/picture">
                        <pic:nvPicPr>
                          <pic:cNvPr id="23" name="Picture 33"/>
                          <pic:cNvPicPr>
                            <a:picLocks noChangeAspect="1" noChangeArrowheads="1"/>
                          </pic:cNvPicPr>
                        </pic:nvPicPr>
                        <pic:blipFill rotWithShape="1">
                          <a:blip r:embed="rId8"/>
                          <a:srcRect t="8" b="2151"/>
                          <a:stretch/>
                        </pic:blipFill>
                        <pic:spPr bwMode="auto">
                          <a:xfrm rot="10800000">
                            <a:off x="53" y="2568"/>
                            <a:ext cx="11520" cy="8800"/>
                          </a:xfrm>
                          <a:prstGeom prst="rect">
                            <a:avLst/>
                          </a:prstGeom>
                          <a:noFill/>
                          <a:ln>
                            <a:noFill/>
                          </a:ln>
                        </pic:spPr>
                      </pic:pic>
                      <wps:wsp>
                        <wps:cNvPr id="24" name="Line 32"/>
                        <wps:cNvCnPr>
                          <a:cxnSpLocks noChangeShapeType="1"/>
                        </wps:cNvCnPr>
                        <wps:spPr bwMode="auto">
                          <a:xfrm>
                            <a:off x="303" y="1202"/>
                            <a:ext cx="9660" cy="0"/>
                          </a:xfrm>
                          <a:prstGeom prst="line">
                            <a:avLst/>
                          </a:prstGeom>
                          <a:noFill/>
                          <a:ln w="12700">
                            <a:solidFill>
                              <a:srgbClr val="00609B"/>
                            </a:solidFill>
                            <a:prstDash val="solid"/>
                            <a:round/>
                            <a:headEnd/>
                            <a:tailEnd/>
                          </a:ln>
                        </wps:spPr>
                        <wps:bodyPr/>
                      </wps:wsp>
                      <wps:wsp>
                        <wps:cNvPr id="26" name="Text Box 30"/>
                        <wps:cNvSpPr txBox="1">
                          <a:spLocks noChangeArrowheads="1"/>
                        </wps:cNvSpPr>
                        <wps:spPr bwMode="auto">
                          <a:xfrm>
                            <a:off x="963" y="1632"/>
                            <a:ext cx="4353" cy="519"/>
                          </a:xfrm>
                          <a:prstGeom prst="rect">
                            <a:avLst/>
                          </a:prstGeom>
                          <a:noFill/>
                          <a:ln>
                            <a:noFill/>
                          </a:ln>
                        </wps:spPr>
                        <wps:txbx>
                          <w:txbxContent>
                            <w:p w:rsidR="0021343C" w:rsidRDefault="0021343C">
                              <w:pPr>
                                <w:spacing w:line="495" w:lineRule="exact"/>
                                <w:rPr>
                                  <w:rFonts w:ascii="Times New Roman" w:hAnsi="Times New Roman"/>
                                  <w:b/>
                                  <w:sz w:val="4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23.25pt;margin-top:-66pt;width:605.25pt;height:1104.75pt;z-index:-252080128;mso-position-horizontal-relative:page;mso-position-vertical-relative:page" coordorigin="53,1202" coordsize="11520,10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53;top:2568;width:11520;height:8800;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PDmHDAAAA2wAAAA8AAABkcnMvZG93bnJldi54bWxEj0FrwkAUhO9C/8PyCr3pphEkpK5SAqI3&#10;W432+sw+k7TZtyG7xvTfu4LgcZiZb5j5cjCN6KlztWUF75MIBHFhdc2lgny/GicgnEfW2FgmBf/k&#10;YLl4Gc0x1fbK39TvfCkChF2KCirv21RKV1Rk0E1sSxy8s+0M+iC7UuoOrwFuGhlH0UwarDksVNhS&#10;VlHxt7sYBdnX2mY/SXI4bE971//qmMv8qNTb6/D5AcLT4J/hR3ujFcRTuH8JP0A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w8OYcMAAADbAAAADwAAAAAAAAAAAAAAAACf&#10;AgAAZHJzL2Rvd25yZXYueG1sUEsFBgAAAAAEAAQA9wAAAI8DAAAAAA==&#10;">
                  <v:imagedata r:id="rId9" o:title="" croptop="5f" cropbottom="1410f"/>
                </v:shape>
                <v:line id="Line 32" o:spid="_x0000_s1028" style="position:absolute;visibility:visible;mso-wrap-style:square" from="303,1202" to="9963,1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6hcMAAADbAAAADwAAAGRycy9kb3ducmV2LnhtbESP3WrCQBSE7wu+w3IEb4puDFI0uopU&#10;lOJFwZ8HOGaPSTB7Nt1dY/r2bqHg5TAz3zCLVWdq0ZLzlWUF41ECgji3uuJCwfm0HU5B+ICssbZM&#10;Cn7Jw2rZe1tgpu2DD9QeQyEihH2GCsoQmkxKn5dk0I9sQxy9q3UGQ5SukNrhI8JNLdMk+ZAGK44L&#10;JTb0WVJ+O96Ngt10Jr/3zqT+py029d44+c4XpQb9bj0HEagLr/B/+0srSCfw9yX+AL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fuoXDAAAA2wAAAA8AAAAAAAAAAAAA&#10;AAAAoQIAAGRycy9kb3ducmV2LnhtbFBLBQYAAAAABAAEAPkAAACRAwAAAAA=&#10;" strokecolor="#00609b" strokeweight="1pt"/>
                <v:shapetype id="_x0000_t202" coordsize="21600,21600" o:spt="202" path="m,l,21600r21600,l21600,xe">
                  <v:stroke joinstyle="miter"/>
                  <v:path gradientshapeok="t" o:connecttype="rect"/>
                </v:shapetype>
                <v:shape id="Text Box 30" o:spid="_x0000_s1029" type="#_x0000_t202" style="position:absolute;left:963;top:1632;width:4353;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21343C" w:rsidRDefault="0021343C">
                        <w:pPr>
                          <w:spacing w:line="495" w:lineRule="exact"/>
                          <w:rPr>
                            <w:rFonts w:ascii="Times New Roman" w:hAnsi="Times New Roman"/>
                            <w:b/>
                            <w:sz w:val="44"/>
                          </w:rPr>
                        </w:pPr>
                      </w:p>
                    </w:txbxContent>
                  </v:textbox>
                </v:shape>
                <w10:wrap anchorx="page" anchory="page"/>
              </v:group>
            </w:pict>
          </mc:Fallback>
        </mc:AlternateContent>
      </w:r>
    </w:p>
    <w:p w:rsidR="0021343C" w:rsidRPr="001B2BBC" w:rsidRDefault="0021343C">
      <w:pPr>
        <w:pStyle w:val="Corpodetexto"/>
        <w:rPr>
          <w:rFonts w:ascii="Times New Roman"/>
          <w:lang w:val="pt-BR"/>
        </w:rPr>
      </w:pPr>
    </w:p>
    <w:p w:rsidR="0021343C" w:rsidRPr="001B2BBC" w:rsidRDefault="00833D7D">
      <w:pPr>
        <w:pStyle w:val="Corpodetexto"/>
        <w:rPr>
          <w:rFonts w:ascii="Times New Roman"/>
          <w:lang w:val="pt-BR"/>
        </w:rPr>
      </w:pPr>
      <w:r>
        <w:rPr>
          <w:rFonts w:ascii="Times New Roman"/>
          <w:noProof/>
          <w:lang w:val="pt-BR" w:eastAsia="pt-BR" w:bidi="ar-SA"/>
        </w:rPr>
        <mc:AlternateContent>
          <mc:Choice Requires="wps">
            <w:drawing>
              <wp:anchor distT="0" distB="0" distL="114300" distR="114300" simplePos="0" relativeHeight="251678720" behindDoc="0" locked="0" layoutInCell="1" allowOverlap="1">
                <wp:simplePos x="0" y="0"/>
                <wp:positionH relativeFrom="margin">
                  <wp:posOffset>-365125</wp:posOffset>
                </wp:positionH>
                <wp:positionV relativeFrom="paragraph">
                  <wp:posOffset>139700</wp:posOffset>
                </wp:positionV>
                <wp:extent cx="6962775" cy="918845"/>
                <wp:effectExtent l="0" t="0" r="0" b="0"/>
                <wp:wrapNone/>
                <wp:docPr id="2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918845"/>
                        </a:xfrm>
                        <a:prstGeom prst="rect">
                          <a:avLst/>
                        </a:prstGeom>
                        <a:noFill/>
                        <a:ln>
                          <a:noFill/>
                        </a:ln>
                        <a:effectLst/>
                      </wps:spPr>
                      <wps:txbx>
                        <w:txbxContent>
                          <w:p w:rsidR="00C0497A" w:rsidRPr="00C0497A" w:rsidRDefault="00C0497A" w:rsidP="00C0497A">
                            <w:pPr>
                              <w:jc w:val="center"/>
                              <w:rPr>
                                <w:rFonts w:ascii="Times New Roman" w:hAnsi="Times New Roman" w:cs="Times New Roman"/>
                                <w:b/>
                                <w:sz w:val="28"/>
                                <w:szCs w:val="28"/>
                              </w:rPr>
                            </w:pPr>
                            <w:r w:rsidRPr="00C0497A">
                              <w:rPr>
                                <w:rFonts w:ascii="Times New Roman" w:hAnsi="Times New Roman" w:cs="Times New Roman"/>
                                <w:b/>
                                <w:sz w:val="28"/>
                                <w:szCs w:val="28"/>
                              </w:rPr>
                              <w:t>AS RESERVAS PARTICULARES DO PATRIMÔNIO NATURAL E SEUS IMPACTOS SOCIOECONÔMICOS: UM ESTUDO PARA PIRENÓPOLIS/GO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0" type="#_x0000_t202" style="position:absolute;margin-left:-28.75pt;margin-top:11pt;width:548.25pt;height:72.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" filled="f" stroked="f">
                <v:textbox>
                  <w:txbxContent>
                    <w:p w:rsidR="00C0497A" w:rsidRPr="00C0497A" w:rsidRDefault="00C0497A" w:rsidP="00C0497A">
                      <w:pPr>
                        <w:jc w:val="center"/>
                        <w:rPr>
                          <w:rFonts w:ascii="Times New Roman" w:hAnsi="Times New Roman" w:cs="Times New Roman"/>
                          <w:b/>
                          <w:sz w:val="28"/>
                          <w:szCs w:val="28"/>
                        </w:rPr>
                      </w:pPr>
                      <w:r w:rsidRPr="00C0497A">
                        <w:rPr>
                          <w:rFonts w:ascii="Times New Roman" w:hAnsi="Times New Roman" w:cs="Times New Roman"/>
                          <w:b/>
                          <w:sz w:val="28"/>
                          <w:szCs w:val="28"/>
                        </w:rPr>
                        <w:t>AS RESERVAS PARTICULARES DO PATRIMÔNIO NATURAL E SEUS IMPACTOS SOCIOECONÔMICOS: UM ESTUDO PARA PIRENÓPOLIS/GO</w:t>
                      </w:r>
                    </w:p>
                  </w:txbxContent>
                </v:textbox>
                <w10:wrap anchorx="margin"/>
              </v:shape>
            </w:pict>
          </mc:Fallback>
        </mc:AlternateContent>
      </w:r>
    </w:p>
    <w:p w:rsidR="0021343C" w:rsidRPr="001B2BBC" w:rsidRDefault="0021343C" w:rsidP="006D7B3A">
      <w:pPr>
        <w:pStyle w:val="Corpodetexto"/>
        <w:jc w:val="right"/>
        <w:rPr>
          <w:rFonts w:ascii="Times New Roman"/>
          <w:lang w:val="pt-BR"/>
        </w:rPr>
      </w:pPr>
    </w:p>
    <w:p w:rsidR="0021343C" w:rsidRPr="001B2BBC" w:rsidRDefault="0021343C">
      <w:pPr>
        <w:pStyle w:val="Corpodetexto"/>
        <w:rPr>
          <w:rFonts w:ascii="Times New Roman"/>
          <w:lang w:val="pt-BR"/>
        </w:rPr>
      </w:pPr>
    </w:p>
    <w:p w:rsidR="0021343C" w:rsidRPr="001B2BBC" w:rsidRDefault="0021343C">
      <w:pPr>
        <w:pStyle w:val="Corpodetexto"/>
        <w:rPr>
          <w:rFonts w:ascii="Times New Roman"/>
          <w:lang w:val="pt-BR"/>
        </w:rPr>
      </w:pPr>
    </w:p>
    <w:p w:rsidR="0021343C" w:rsidRPr="001B2BBC" w:rsidRDefault="0021343C">
      <w:pPr>
        <w:pStyle w:val="Corpodetexto"/>
        <w:rPr>
          <w:rFonts w:ascii="Times New Roman"/>
          <w:lang w:val="pt-BR"/>
        </w:rPr>
      </w:pPr>
    </w:p>
    <w:p w:rsidR="0021343C" w:rsidRPr="001B2BBC" w:rsidRDefault="0021343C">
      <w:pPr>
        <w:pStyle w:val="Corpodetexto"/>
        <w:rPr>
          <w:rFonts w:ascii="Times New Roman"/>
          <w:lang w:val="pt-BR"/>
        </w:rPr>
      </w:pPr>
    </w:p>
    <w:p w:rsidR="00B301A4" w:rsidRDefault="00B301A4" w:rsidP="00B301A4">
      <w:pPr>
        <w:pStyle w:val="Corpodetexto"/>
        <w:tabs>
          <w:tab w:val="left" w:pos="1920"/>
        </w:tabs>
        <w:rPr>
          <w:rFonts w:ascii="Times New Roman"/>
          <w:lang w:val="pt-BR"/>
        </w:rPr>
      </w:pPr>
    </w:p>
    <w:p w:rsidR="00B301A4" w:rsidRDefault="00B301A4" w:rsidP="00A239A3">
      <w:pPr>
        <w:pStyle w:val="Corpodetexto"/>
        <w:tabs>
          <w:tab w:val="left" w:pos="1920"/>
        </w:tabs>
        <w:jc w:val="right"/>
        <w:rPr>
          <w:rFonts w:ascii="Times New Roman"/>
          <w:lang w:val="pt-BR"/>
        </w:rPr>
      </w:pPr>
    </w:p>
    <w:p w:rsidR="00B301A4" w:rsidRDefault="00B301A4" w:rsidP="00B301A4">
      <w:pPr>
        <w:pStyle w:val="Corpodetexto"/>
        <w:tabs>
          <w:tab w:val="left" w:pos="1920"/>
        </w:tabs>
        <w:rPr>
          <w:rFonts w:ascii="Times New Roman"/>
          <w:lang w:val="pt-BR"/>
        </w:rPr>
      </w:pPr>
    </w:p>
    <w:p w:rsidR="001B2BBC" w:rsidRPr="00D80CCD" w:rsidRDefault="00C0497A" w:rsidP="00BA0D21">
      <w:pPr>
        <w:pStyle w:val="Corpodetexto"/>
        <w:tabs>
          <w:tab w:val="left" w:pos="1920"/>
        </w:tabs>
        <w:spacing w:line="276" w:lineRule="auto"/>
        <w:jc w:val="right"/>
        <w:rPr>
          <w:rFonts w:ascii="Times New Roman" w:hAnsi="Times New Roman" w:cs="Times New Roman"/>
          <w:sz w:val="24"/>
          <w:szCs w:val="24"/>
          <w:lang w:val="pt-BR"/>
        </w:rPr>
      </w:pPr>
      <w:r w:rsidRPr="00BA0D21">
        <w:rPr>
          <w:rFonts w:ascii="Times New Roman" w:eastAsia="Times New Roman" w:hAnsi="Times New Roman" w:cs="Times New Roman"/>
          <w:color w:val="000000"/>
          <w:sz w:val="24"/>
          <w:szCs w:val="24"/>
          <w:u w:val="single"/>
          <w:lang w:val="pt-BR"/>
        </w:rPr>
        <w:t>Amanda Barbosa Rêgo</w:t>
      </w:r>
      <w:r w:rsidR="00EB4F8E" w:rsidRPr="00D80CCD">
        <w:rPr>
          <w:rFonts w:ascii="Times New Roman" w:eastAsia="Times New Roman" w:hAnsi="Times New Roman" w:cs="Times New Roman"/>
          <w:color w:val="000000"/>
          <w:sz w:val="24"/>
          <w:szCs w:val="24"/>
          <w:lang w:val="pt-BR"/>
        </w:rPr>
        <w:t xml:space="preserve"> </w:t>
      </w:r>
      <w:r w:rsidR="003B404A" w:rsidRPr="00D80CCD">
        <w:rPr>
          <w:rStyle w:val="Refdenotaderodap"/>
          <w:rFonts w:ascii="Times New Roman" w:eastAsia="Times New Roman" w:hAnsi="Times New Roman" w:cs="Times New Roman"/>
          <w:color w:val="000000"/>
          <w:sz w:val="24"/>
          <w:szCs w:val="24"/>
        </w:rPr>
        <w:footnoteReference w:id="1"/>
      </w:r>
    </w:p>
    <w:p w:rsidR="001B2BBC" w:rsidRPr="00C0497A" w:rsidRDefault="00C0497A" w:rsidP="00BA0D21">
      <w:pPr>
        <w:spacing w:line="276" w:lineRule="auto"/>
        <w:jc w:val="right"/>
        <w:rPr>
          <w:rFonts w:ascii="Times New Roman" w:eastAsia="Times New Roman" w:hAnsi="Times New Roman" w:cs="Times New Roman"/>
          <w:color w:val="000000"/>
          <w:sz w:val="24"/>
          <w:szCs w:val="24"/>
        </w:rPr>
      </w:pPr>
      <w:r w:rsidRPr="00C0497A">
        <w:rPr>
          <w:rFonts w:ascii="Times New Roman" w:eastAsia="Times New Roman" w:hAnsi="Times New Roman" w:cs="Times New Roman"/>
          <w:color w:val="000000"/>
          <w:sz w:val="24"/>
          <w:szCs w:val="24"/>
        </w:rPr>
        <w:t>Joana D</w:t>
      </w:r>
      <w:r w:rsidR="0096284A">
        <w:rPr>
          <w:rFonts w:ascii="Times New Roman" w:eastAsia="Times New Roman" w:hAnsi="Times New Roman" w:cs="Times New Roman"/>
          <w:color w:val="000000"/>
          <w:sz w:val="24"/>
          <w:szCs w:val="24"/>
        </w:rPr>
        <w:t>´</w:t>
      </w:r>
      <w:r w:rsidRPr="00C0497A">
        <w:rPr>
          <w:rFonts w:ascii="Times New Roman" w:eastAsia="Times New Roman" w:hAnsi="Times New Roman" w:cs="Times New Roman"/>
          <w:color w:val="000000"/>
          <w:sz w:val="24"/>
          <w:szCs w:val="24"/>
        </w:rPr>
        <w:t xml:space="preserve">Arc Bardella Castro </w:t>
      </w:r>
      <w:r w:rsidR="003B404A" w:rsidRPr="00C0497A">
        <w:rPr>
          <w:rStyle w:val="Refdenotaderodap"/>
          <w:rFonts w:ascii="Times New Roman" w:eastAsia="Times New Roman" w:hAnsi="Times New Roman" w:cs="Times New Roman"/>
          <w:color w:val="000000"/>
          <w:sz w:val="24"/>
          <w:szCs w:val="24"/>
        </w:rPr>
        <w:footnoteReference w:id="2"/>
      </w:r>
    </w:p>
    <w:p w:rsidR="00517C50" w:rsidRDefault="00517C50" w:rsidP="00BA0D21">
      <w:pPr>
        <w:spacing w:line="276" w:lineRule="auto"/>
        <w:jc w:val="right"/>
        <w:rPr>
          <w:rFonts w:ascii="Times New Roman" w:hAnsi="Times New Roman" w:cs="Times New Roman"/>
          <w:sz w:val="24"/>
          <w:szCs w:val="24"/>
        </w:rPr>
      </w:pPr>
    </w:p>
    <w:p w:rsidR="00517C50" w:rsidRPr="00C0497A" w:rsidRDefault="00C0497A" w:rsidP="00BA0D21">
      <w:pPr>
        <w:spacing w:line="276" w:lineRule="auto"/>
        <w:rPr>
          <w:rFonts w:ascii="Times New Roman" w:eastAsia="Times New Roman" w:hAnsi="Times New Roman" w:cs="Times New Roman"/>
          <w:b/>
          <w:color w:val="000000"/>
          <w:sz w:val="24"/>
          <w:szCs w:val="24"/>
        </w:rPr>
      </w:pPr>
      <w:r w:rsidRPr="00C0497A">
        <w:rPr>
          <w:rFonts w:ascii="Times New Roman" w:hAnsi="Times New Roman" w:cs="Times New Roman"/>
          <w:b/>
          <w:sz w:val="24"/>
          <w:szCs w:val="24"/>
        </w:rPr>
        <w:t>Políticas públicas, Legislação e Meio Ambiente</w:t>
      </w:r>
    </w:p>
    <w:p w:rsidR="00517C50" w:rsidRDefault="00517C50" w:rsidP="00517C50">
      <w:pPr>
        <w:jc w:val="center"/>
        <w:textDirection w:val="btLr"/>
        <w:rPr>
          <w:rFonts w:ascii="Times New Roman" w:eastAsia="Times New Roman" w:hAnsi="Times New Roman" w:cs="Times New Roman"/>
          <w:b/>
          <w:i/>
          <w:color w:val="231F20"/>
          <w:sz w:val="28"/>
        </w:rPr>
      </w:pPr>
    </w:p>
    <w:p w:rsidR="00517C50" w:rsidRDefault="00517C50" w:rsidP="00517C50">
      <w:pPr>
        <w:jc w:val="center"/>
        <w:textDirection w:val="btLr"/>
        <w:rPr>
          <w:rFonts w:ascii="Times New Roman" w:eastAsia="Times New Roman" w:hAnsi="Times New Roman" w:cs="Times New Roman"/>
          <w:b/>
          <w:i/>
          <w:color w:val="231F20"/>
          <w:sz w:val="28"/>
        </w:rPr>
      </w:pPr>
    </w:p>
    <w:p w:rsidR="00517C50" w:rsidRDefault="00517C50" w:rsidP="00517C50">
      <w:pPr>
        <w:jc w:val="center"/>
        <w:textDirection w:val="btLr"/>
      </w:pPr>
      <w:r>
        <w:rPr>
          <w:rFonts w:ascii="Times New Roman" w:eastAsia="Times New Roman" w:hAnsi="Times New Roman" w:cs="Times New Roman"/>
          <w:b/>
          <w:i/>
          <w:color w:val="231F20"/>
          <w:sz w:val="28"/>
        </w:rPr>
        <w:t>Resumo</w:t>
      </w:r>
    </w:p>
    <w:p w:rsidR="00517C50" w:rsidRDefault="00517C50" w:rsidP="00517C50">
      <w:pPr>
        <w:ind w:left="220" w:firstLine="220"/>
        <w:jc w:val="center"/>
        <w:textDirection w:val="btLr"/>
      </w:pPr>
    </w:p>
    <w:p w:rsidR="00621B6D" w:rsidRDefault="00621B6D" w:rsidP="00621B6D">
      <w:pPr>
        <w:jc w:val="both"/>
        <w:rPr>
          <w:rFonts w:ascii="Times New Roman" w:hAnsi="Times New Roman" w:cs="Times New Roman"/>
        </w:rPr>
      </w:pPr>
      <w:r>
        <w:rPr>
          <w:rFonts w:ascii="Times New Roman" w:hAnsi="Times New Roman" w:cs="Times New Roman"/>
        </w:rPr>
        <w:t xml:space="preserve">A Constituição Federal em seu art. 225 dispõe que o poder público e também a coletividade tem o dever de preservar o meio ambiente </w:t>
      </w:r>
      <w:r w:rsidR="003640EF">
        <w:rPr>
          <w:rFonts w:ascii="Times New Roman" w:hAnsi="Times New Roman" w:cs="Times New Roman"/>
        </w:rPr>
        <w:t xml:space="preserve">para que este seja saudável </w:t>
      </w:r>
      <w:proofErr w:type="gramStart"/>
      <w:r w:rsidR="003640EF">
        <w:rPr>
          <w:rFonts w:ascii="Times New Roman" w:hAnsi="Times New Roman" w:cs="Times New Roman"/>
        </w:rPr>
        <w:t xml:space="preserve">às </w:t>
      </w:r>
      <w:r>
        <w:rPr>
          <w:rFonts w:ascii="Times New Roman" w:hAnsi="Times New Roman" w:cs="Times New Roman"/>
        </w:rPr>
        <w:t>presente</w:t>
      </w:r>
      <w:r w:rsidR="003640EF">
        <w:rPr>
          <w:rFonts w:ascii="Times New Roman" w:hAnsi="Times New Roman" w:cs="Times New Roman"/>
        </w:rPr>
        <w:t>s</w:t>
      </w:r>
      <w:proofErr w:type="gramEnd"/>
      <w:r>
        <w:rPr>
          <w:rFonts w:ascii="Times New Roman" w:hAnsi="Times New Roman" w:cs="Times New Roman"/>
        </w:rPr>
        <w:t xml:space="preserve"> e </w:t>
      </w:r>
      <w:r w:rsidR="00A45639">
        <w:rPr>
          <w:rFonts w:ascii="Times New Roman" w:hAnsi="Times New Roman" w:cs="Times New Roman"/>
        </w:rPr>
        <w:t xml:space="preserve">às </w:t>
      </w:r>
      <w:r>
        <w:rPr>
          <w:rFonts w:ascii="Times New Roman" w:hAnsi="Times New Roman" w:cs="Times New Roman"/>
        </w:rPr>
        <w:t>futuras gerações. As Reservas Particulares do Patrimônio Natural (</w:t>
      </w:r>
      <w:proofErr w:type="spellStart"/>
      <w:r>
        <w:rPr>
          <w:rFonts w:ascii="Times New Roman" w:hAnsi="Times New Roman" w:cs="Times New Roman"/>
        </w:rPr>
        <w:t>RPPNs</w:t>
      </w:r>
      <w:proofErr w:type="spellEnd"/>
      <w:r>
        <w:rPr>
          <w:rFonts w:ascii="Times New Roman" w:hAnsi="Times New Roman" w:cs="Times New Roman"/>
        </w:rPr>
        <w:t>) são Unidades de Conservação (</w:t>
      </w:r>
      <w:proofErr w:type="spellStart"/>
      <w:r>
        <w:rPr>
          <w:rFonts w:ascii="Times New Roman" w:hAnsi="Times New Roman" w:cs="Times New Roman"/>
        </w:rPr>
        <w:t>UCs</w:t>
      </w:r>
      <w:proofErr w:type="spellEnd"/>
      <w:r>
        <w:rPr>
          <w:rFonts w:ascii="Times New Roman" w:hAnsi="Times New Roman" w:cs="Times New Roman"/>
        </w:rPr>
        <w:t>) de uso sustentável que permitem à sociedade colaborar na preservação ambienta</w:t>
      </w:r>
      <w:r w:rsidR="003640EF">
        <w:rPr>
          <w:rFonts w:ascii="Times New Roman" w:hAnsi="Times New Roman" w:cs="Times New Roman"/>
        </w:rPr>
        <w:t xml:space="preserve">l e cumprir este dever constitucional. </w:t>
      </w:r>
      <w:r>
        <w:rPr>
          <w:rFonts w:ascii="Times New Roman" w:hAnsi="Times New Roman" w:cs="Times New Roman"/>
        </w:rPr>
        <w:t>Nelas o proprietário, por livre vontade, grava perpetuamente seu imóvel com o objetivo de conservar a diversidade biológica.</w:t>
      </w:r>
      <w:r w:rsidR="003640EF">
        <w:rPr>
          <w:rFonts w:ascii="Times New Roman" w:hAnsi="Times New Roman" w:cs="Times New Roman"/>
        </w:rPr>
        <w:t xml:space="preserve"> O município de Pirenópolis localiza-se no </w:t>
      </w:r>
      <w:r w:rsidRPr="00131926">
        <w:rPr>
          <w:rFonts w:ascii="Times New Roman" w:hAnsi="Times New Roman" w:cs="Times New Roman"/>
        </w:rPr>
        <w:t>cerrado</w:t>
      </w:r>
      <w:r w:rsidR="003640EF">
        <w:rPr>
          <w:rFonts w:ascii="Times New Roman" w:hAnsi="Times New Roman" w:cs="Times New Roman"/>
        </w:rPr>
        <w:t xml:space="preserve">, que apesar de ser </w:t>
      </w:r>
      <w:r w:rsidRPr="00131926">
        <w:rPr>
          <w:rFonts w:ascii="Times New Roman" w:hAnsi="Times New Roman" w:cs="Times New Roman"/>
        </w:rPr>
        <w:t>considerad</w:t>
      </w:r>
      <w:r w:rsidR="003640EF">
        <w:rPr>
          <w:rFonts w:ascii="Times New Roman" w:hAnsi="Times New Roman" w:cs="Times New Roman"/>
        </w:rPr>
        <w:t>o</w:t>
      </w:r>
      <w:r w:rsidRPr="00131926">
        <w:rPr>
          <w:rFonts w:ascii="Times New Roman" w:hAnsi="Times New Roman" w:cs="Times New Roman"/>
        </w:rPr>
        <w:t xml:space="preserve"> a Savana mais rica do mundo quanto à biodiversidade</w:t>
      </w:r>
      <w:r w:rsidR="003640EF">
        <w:rPr>
          <w:rFonts w:ascii="Times New Roman" w:hAnsi="Times New Roman" w:cs="Times New Roman"/>
        </w:rPr>
        <w:t xml:space="preserve">, é o segundo bioma mais degradado do país. Esta cidade goiana é a que conta com a </w:t>
      </w:r>
      <w:proofErr w:type="spellStart"/>
      <w:r w:rsidR="003640EF">
        <w:rPr>
          <w:rFonts w:ascii="Times New Roman" w:hAnsi="Times New Roman" w:cs="Times New Roman"/>
        </w:rPr>
        <w:t>maiquantidade</w:t>
      </w:r>
      <w:proofErr w:type="spellEnd"/>
      <w:r w:rsidR="003640EF">
        <w:rPr>
          <w:rFonts w:ascii="Times New Roman" w:hAnsi="Times New Roman" w:cs="Times New Roman"/>
        </w:rPr>
        <w:t xml:space="preserve"> de </w:t>
      </w:r>
      <w:proofErr w:type="spellStart"/>
      <w:r w:rsidR="003640EF">
        <w:rPr>
          <w:rFonts w:ascii="Times New Roman" w:hAnsi="Times New Roman" w:cs="Times New Roman"/>
        </w:rPr>
        <w:t>RPPNs</w:t>
      </w:r>
      <w:proofErr w:type="spellEnd"/>
      <w:r w:rsidR="003640EF">
        <w:rPr>
          <w:rFonts w:ascii="Times New Roman" w:hAnsi="Times New Roman" w:cs="Times New Roman"/>
        </w:rPr>
        <w:t xml:space="preserve"> em seu território (16 unidades)</w:t>
      </w:r>
      <w:r w:rsidR="00E10F53">
        <w:rPr>
          <w:rFonts w:ascii="Times New Roman" w:hAnsi="Times New Roman" w:cs="Times New Roman"/>
        </w:rPr>
        <w:t>, o</w:t>
      </w:r>
      <w:r w:rsidR="003640EF">
        <w:rPr>
          <w:rFonts w:ascii="Times New Roman" w:hAnsi="Times New Roman" w:cs="Times New Roman"/>
        </w:rPr>
        <w:t xml:space="preserve"> que representa aproximadamente 20% da extensão do total das </w:t>
      </w:r>
      <w:proofErr w:type="spellStart"/>
      <w:r w:rsidR="003640EF">
        <w:rPr>
          <w:rFonts w:ascii="Times New Roman" w:hAnsi="Times New Roman" w:cs="Times New Roman"/>
        </w:rPr>
        <w:t>UC</w:t>
      </w:r>
      <w:r w:rsidR="00E2225B">
        <w:rPr>
          <w:rFonts w:ascii="Times New Roman" w:hAnsi="Times New Roman" w:cs="Times New Roman"/>
        </w:rPr>
        <w:t>s</w:t>
      </w:r>
      <w:proofErr w:type="spellEnd"/>
      <w:r w:rsidR="003640EF">
        <w:rPr>
          <w:rFonts w:ascii="Times New Roman" w:hAnsi="Times New Roman" w:cs="Times New Roman"/>
        </w:rPr>
        <w:t xml:space="preserve"> existentes no município. </w:t>
      </w:r>
      <w:r w:rsidR="00A45639">
        <w:rPr>
          <w:rFonts w:ascii="Times New Roman" w:hAnsi="Times New Roman" w:cs="Times New Roman"/>
        </w:rPr>
        <w:t xml:space="preserve">Segundo legislação tributária do estado de Goiás, a </w:t>
      </w:r>
      <w:r w:rsidR="00E2225B">
        <w:rPr>
          <w:rFonts w:ascii="Times New Roman" w:hAnsi="Times New Roman" w:cs="Times New Roman"/>
        </w:rPr>
        <w:t xml:space="preserve">existência de </w:t>
      </w:r>
      <w:r w:rsidR="0062559D">
        <w:rPr>
          <w:rFonts w:ascii="Times New Roman" w:hAnsi="Times New Roman" w:cs="Times New Roman"/>
        </w:rPr>
        <w:t>unidades de conservação no território municipal permite</w:t>
      </w:r>
      <w:r w:rsidR="00A45639">
        <w:rPr>
          <w:rFonts w:ascii="Times New Roman" w:hAnsi="Times New Roman" w:cs="Times New Roman"/>
        </w:rPr>
        <w:t xml:space="preserve"> seu</w:t>
      </w:r>
      <w:r w:rsidR="0062559D">
        <w:rPr>
          <w:rFonts w:ascii="Times New Roman" w:hAnsi="Times New Roman" w:cs="Times New Roman"/>
        </w:rPr>
        <w:t xml:space="preserve"> acesso a um incremento de recursos públicos </w:t>
      </w:r>
      <w:r w:rsidR="00A45639">
        <w:rPr>
          <w:rFonts w:ascii="Times New Roman" w:hAnsi="Times New Roman" w:cs="Times New Roman"/>
        </w:rPr>
        <w:t xml:space="preserve">decorrentes do </w:t>
      </w:r>
      <w:r w:rsidR="0062559D">
        <w:rPr>
          <w:rFonts w:ascii="Times New Roman" w:hAnsi="Times New Roman" w:cs="Times New Roman"/>
        </w:rPr>
        <w:t xml:space="preserve">ICMS Ecológico. </w:t>
      </w:r>
      <w:r w:rsidRPr="00131926">
        <w:rPr>
          <w:rFonts w:ascii="Times New Roman" w:hAnsi="Times New Roman" w:cs="Times New Roman"/>
        </w:rPr>
        <w:t xml:space="preserve">O objetivo </w:t>
      </w:r>
      <w:r w:rsidR="00E2225B">
        <w:rPr>
          <w:rFonts w:ascii="Times New Roman" w:hAnsi="Times New Roman" w:cs="Times New Roman"/>
        </w:rPr>
        <w:t xml:space="preserve">do estudo será observar os impactos locais e legais das </w:t>
      </w:r>
      <w:proofErr w:type="spellStart"/>
      <w:r w:rsidR="00E2225B">
        <w:rPr>
          <w:rFonts w:ascii="Times New Roman" w:hAnsi="Times New Roman" w:cs="Times New Roman"/>
        </w:rPr>
        <w:t>RPPNs</w:t>
      </w:r>
      <w:proofErr w:type="spellEnd"/>
      <w:r w:rsidR="00E2225B">
        <w:rPr>
          <w:rFonts w:ascii="Times New Roman" w:hAnsi="Times New Roman" w:cs="Times New Roman"/>
        </w:rPr>
        <w:t xml:space="preserve"> para Pirenópolis. </w:t>
      </w:r>
      <w:r>
        <w:rPr>
          <w:rFonts w:ascii="Times New Roman" w:hAnsi="Times New Roman" w:cs="Times New Roman"/>
        </w:rPr>
        <w:t xml:space="preserve">A pesquisa tem objetivo de ser aplicada e descritiva, em que o problema será abordado de forma </w:t>
      </w:r>
      <w:proofErr w:type="spellStart"/>
      <w:r>
        <w:rPr>
          <w:rFonts w:ascii="Times New Roman" w:hAnsi="Times New Roman" w:cs="Times New Roman"/>
        </w:rPr>
        <w:t>quali</w:t>
      </w:r>
      <w:proofErr w:type="spellEnd"/>
      <w:r>
        <w:rPr>
          <w:rFonts w:ascii="Times New Roman" w:hAnsi="Times New Roman" w:cs="Times New Roman"/>
        </w:rPr>
        <w:t>-quantitativo, utilizará como procedimentos técnicos a pesquisa bibliográfica</w:t>
      </w:r>
      <w:r w:rsidR="00E2225B">
        <w:rPr>
          <w:rFonts w:ascii="Times New Roman" w:hAnsi="Times New Roman" w:cs="Times New Roman"/>
        </w:rPr>
        <w:t xml:space="preserve"> e </w:t>
      </w:r>
      <w:r>
        <w:rPr>
          <w:rFonts w:ascii="Times New Roman" w:hAnsi="Times New Roman" w:cs="Times New Roman"/>
        </w:rPr>
        <w:t xml:space="preserve">documental e seguirá o método científico </w:t>
      </w:r>
      <w:r w:rsidR="00E2225B">
        <w:rPr>
          <w:rFonts w:ascii="Times New Roman" w:hAnsi="Times New Roman" w:cs="Times New Roman"/>
        </w:rPr>
        <w:t>dedutivo</w:t>
      </w:r>
      <w:r w:rsidRPr="00131926">
        <w:rPr>
          <w:rFonts w:ascii="Times New Roman" w:hAnsi="Times New Roman" w:cs="Times New Roman"/>
        </w:rPr>
        <w:t>.</w:t>
      </w:r>
      <w:r w:rsidR="00A45639">
        <w:rPr>
          <w:rFonts w:ascii="Times New Roman" w:hAnsi="Times New Roman" w:cs="Times New Roman"/>
        </w:rPr>
        <w:t xml:space="preserve"> As </w:t>
      </w:r>
      <w:proofErr w:type="spellStart"/>
      <w:r w:rsidR="00A45639">
        <w:rPr>
          <w:rFonts w:ascii="Times New Roman" w:hAnsi="Times New Roman" w:cs="Times New Roman"/>
        </w:rPr>
        <w:t>RPPNs</w:t>
      </w:r>
      <w:proofErr w:type="spellEnd"/>
      <w:r w:rsidR="00A45639">
        <w:rPr>
          <w:rFonts w:ascii="Times New Roman" w:hAnsi="Times New Roman" w:cs="Times New Roman"/>
        </w:rPr>
        <w:t xml:space="preserve"> além de efetivarem os direitos humanos </w:t>
      </w:r>
      <w:proofErr w:type="spellStart"/>
      <w:r w:rsidR="00A45639">
        <w:rPr>
          <w:rFonts w:ascii="Times New Roman" w:hAnsi="Times New Roman" w:cs="Times New Roman"/>
        </w:rPr>
        <w:t>intergeracionais</w:t>
      </w:r>
      <w:proofErr w:type="spellEnd"/>
      <w:r w:rsidR="00E10F53">
        <w:rPr>
          <w:rFonts w:ascii="Times New Roman" w:hAnsi="Times New Roman" w:cs="Times New Roman"/>
        </w:rPr>
        <w:t xml:space="preserve">, </w:t>
      </w:r>
      <w:r w:rsidR="00A45639">
        <w:rPr>
          <w:rFonts w:ascii="Times New Roman" w:hAnsi="Times New Roman" w:cs="Times New Roman"/>
        </w:rPr>
        <w:t xml:space="preserve">podem </w:t>
      </w:r>
      <w:r w:rsidR="00E10F53">
        <w:rPr>
          <w:rFonts w:ascii="Times New Roman" w:hAnsi="Times New Roman" w:cs="Times New Roman"/>
        </w:rPr>
        <w:t xml:space="preserve">ser instrumentos que permitem o acesso de municípios à maiores </w:t>
      </w:r>
      <w:r w:rsidR="00A45639">
        <w:rPr>
          <w:rFonts w:ascii="Times New Roman" w:hAnsi="Times New Roman" w:cs="Times New Roman"/>
        </w:rPr>
        <w:t>recursos</w:t>
      </w:r>
      <w:r w:rsidR="00E10F53">
        <w:rPr>
          <w:rFonts w:ascii="Times New Roman" w:hAnsi="Times New Roman" w:cs="Times New Roman"/>
        </w:rPr>
        <w:t xml:space="preserve"> públicos para o desenvolvimento local. </w:t>
      </w:r>
    </w:p>
    <w:p w:rsidR="0021343C" w:rsidRPr="001B2BBC" w:rsidRDefault="00517C50" w:rsidP="0096284A">
      <w:pPr>
        <w:spacing w:before="156"/>
        <w:ind w:left="220" w:firstLine="220"/>
        <w:textDirection w:val="btLr"/>
        <w:rPr>
          <w:rFonts w:ascii="Times New Roman"/>
        </w:rPr>
      </w:pPr>
      <w:r w:rsidRPr="00340EB7">
        <w:rPr>
          <w:rFonts w:ascii="Times New Roman" w:eastAsia="Times New Roman" w:hAnsi="Times New Roman" w:cs="Times New Roman"/>
          <w:b/>
          <w:bCs/>
          <w:color w:val="000000"/>
          <w:sz w:val="24"/>
        </w:rPr>
        <w:t>Palavras-chave</w:t>
      </w:r>
      <w:r>
        <w:rPr>
          <w:rFonts w:ascii="Times New Roman" w:eastAsia="Times New Roman" w:hAnsi="Times New Roman" w:cs="Times New Roman"/>
          <w:color w:val="000000"/>
          <w:sz w:val="24"/>
        </w:rPr>
        <w:t xml:space="preserve">: </w:t>
      </w:r>
      <w:r w:rsidR="0096284A">
        <w:rPr>
          <w:rFonts w:ascii="Times New Roman" w:eastAsia="Times New Roman" w:hAnsi="Times New Roman" w:cs="Times New Roman"/>
          <w:color w:val="000000"/>
          <w:sz w:val="24"/>
        </w:rPr>
        <w:t>Economia Ambiental; Unidades de Conservação</w:t>
      </w:r>
      <w:r w:rsidR="00A45639">
        <w:rPr>
          <w:rFonts w:ascii="Times New Roman" w:eastAsia="Times New Roman" w:hAnsi="Times New Roman" w:cs="Times New Roman"/>
          <w:color w:val="000000"/>
          <w:sz w:val="24"/>
        </w:rPr>
        <w:t>;</w:t>
      </w:r>
      <w:r w:rsidR="00A45639" w:rsidRPr="00A45639">
        <w:rPr>
          <w:rFonts w:ascii="Times New Roman" w:eastAsia="Times New Roman" w:hAnsi="Times New Roman" w:cs="Times New Roman"/>
          <w:color w:val="000000"/>
          <w:sz w:val="24"/>
        </w:rPr>
        <w:t xml:space="preserve"> </w:t>
      </w:r>
      <w:r w:rsidR="00A45639">
        <w:rPr>
          <w:rFonts w:ascii="Times New Roman" w:eastAsia="Times New Roman" w:hAnsi="Times New Roman" w:cs="Times New Roman"/>
          <w:color w:val="000000"/>
          <w:sz w:val="24"/>
        </w:rPr>
        <w:t>ICMS Ecológico</w:t>
      </w:r>
      <w:r w:rsidR="0096284A">
        <w:rPr>
          <w:rFonts w:ascii="Times New Roman" w:eastAsia="Times New Roman" w:hAnsi="Times New Roman" w:cs="Times New Roman"/>
          <w:color w:val="000000"/>
          <w:sz w:val="24"/>
        </w:rPr>
        <w:t xml:space="preserve">. </w:t>
      </w:r>
    </w:p>
    <w:p w:rsidR="00B91112" w:rsidRDefault="00B91112">
      <w:pPr>
        <w:rPr>
          <w:rFonts w:ascii="Times New Roman"/>
          <w:sz w:val="28"/>
        </w:rPr>
        <w:sectPr w:rsidR="00B91112">
          <w:headerReference w:type="even" r:id="rId10"/>
          <w:headerReference w:type="default" r:id="rId11"/>
          <w:footerReference w:type="even" r:id="rId12"/>
          <w:footerReference w:type="default" r:id="rId13"/>
          <w:type w:val="continuous"/>
          <w:pgSz w:w="11520" w:h="15480"/>
          <w:pgMar w:top="0" w:right="840" w:bottom="280" w:left="860" w:header="720" w:footer="720" w:gutter="0"/>
          <w:cols w:space="720"/>
        </w:sectPr>
      </w:pPr>
    </w:p>
    <w:p w:rsidR="0021343C" w:rsidRDefault="0021343C">
      <w:pPr>
        <w:rPr>
          <w:rFonts w:ascii="Times New Roman"/>
          <w:sz w:val="28"/>
        </w:rPr>
        <w:sectPr w:rsidR="0021343C" w:rsidSect="00B91112">
          <w:type w:val="continuous"/>
          <w:pgSz w:w="11520" w:h="15480"/>
          <w:pgMar w:top="0" w:right="840" w:bottom="280" w:left="860" w:header="720" w:footer="720" w:gutter="0"/>
          <w:cols w:space="720"/>
        </w:sectPr>
      </w:pPr>
    </w:p>
    <w:p w:rsidR="007032BB" w:rsidRDefault="007032BB" w:rsidP="00B038B6">
      <w:pPr>
        <w:tabs>
          <w:tab w:val="left" w:pos="5140"/>
        </w:tabs>
        <w:spacing w:line="360" w:lineRule="auto"/>
        <w:rPr>
          <w:rFonts w:ascii="Times New Roman" w:eastAsia="Times New Roman" w:hAnsi="Times New Roman" w:cs="Times New Roman"/>
          <w:b/>
          <w:smallCaps/>
          <w:color w:val="1F497D" w:themeColor="text2"/>
          <w:sz w:val="56"/>
          <w:szCs w:val="56"/>
        </w:rPr>
      </w:pPr>
    </w:p>
    <w:p w:rsidR="007032BB" w:rsidRDefault="007032BB" w:rsidP="00B038B6">
      <w:pPr>
        <w:tabs>
          <w:tab w:val="left" w:pos="5140"/>
        </w:tabs>
        <w:spacing w:line="360" w:lineRule="auto"/>
        <w:rPr>
          <w:rFonts w:ascii="Times New Roman" w:eastAsia="Times New Roman" w:hAnsi="Times New Roman" w:cs="Times New Roman"/>
          <w:b/>
          <w:smallCaps/>
          <w:color w:val="1F497D" w:themeColor="text2"/>
          <w:sz w:val="56"/>
          <w:szCs w:val="56"/>
        </w:rPr>
      </w:pPr>
    </w:p>
    <w:p w:rsidR="005A2FEA" w:rsidRPr="00B038B6" w:rsidRDefault="00357611" w:rsidP="00B038B6">
      <w:pPr>
        <w:tabs>
          <w:tab w:val="left" w:pos="5140"/>
        </w:tabs>
        <w:spacing w:line="360" w:lineRule="auto"/>
        <w:rPr>
          <w:rFonts w:ascii="Times New Roman" w:eastAsia="Times New Roman" w:hAnsi="Times New Roman" w:cs="Times New Roman"/>
          <w:b/>
          <w:smallCaps/>
          <w:color w:val="1F497D" w:themeColor="text2"/>
          <w:sz w:val="56"/>
          <w:szCs w:val="56"/>
        </w:rPr>
      </w:pPr>
      <w:r w:rsidRPr="006627A8">
        <w:rPr>
          <w:rFonts w:ascii="Times New Roman" w:eastAsia="Times New Roman" w:hAnsi="Times New Roman" w:cs="Times New Roman"/>
          <w:b/>
          <w:smallCaps/>
          <w:color w:val="1F497D" w:themeColor="text2"/>
          <w:sz w:val="56"/>
          <w:szCs w:val="56"/>
        </w:rPr>
        <w:lastRenderedPageBreak/>
        <w:t>I</w:t>
      </w:r>
      <w:r w:rsidRPr="006627A8">
        <w:rPr>
          <w:rFonts w:ascii="Times New Roman" w:eastAsia="Times New Roman" w:hAnsi="Times New Roman" w:cs="Times New Roman"/>
          <w:b/>
          <w:smallCaps/>
          <w:color w:val="1F497D" w:themeColor="text2"/>
          <w:sz w:val="24"/>
          <w:szCs w:val="24"/>
        </w:rPr>
        <w:t>NTRODUÇÃO</w:t>
      </w:r>
    </w:p>
    <w:p w:rsidR="0096284A" w:rsidRPr="0096284A" w:rsidRDefault="0096284A" w:rsidP="0096284A">
      <w:pPr>
        <w:spacing w:line="360" w:lineRule="auto"/>
        <w:jc w:val="both"/>
        <w:rPr>
          <w:rFonts w:ascii="Times New Roman" w:hAnsi="Times New Roman" w:cs="Times New Roman"/>
          <w:sz w:val="24"/>
          <w:szCs w:val="24"/>
        </w:rPr>
      </w:pPr>
      <w:r>
        <w:rPr>
          <w:rFonts w:ascii="Arial" w:hAnsi="Arial" w:cs="Arial"/>
          <w:sz w:val="24"/>
          <w:szCs w:val="24"/>
        </w:rPr>
        <w:tab/>
      </w:r>
      <w:r w:rsidRPr="0096284A">
        <w:rPr>
          <w:rFonts w:ascii="Times New Roman" w:hAnsi="Times New Roman" w:cs="Times New Roman"/>
          <w:sz w:val="24"/>
          <w:szCs w:val="24"/>
        </w:rPr>
        <w:t xml:space="preserve">A Constituição Federal </w:t>
      </w:r>
      <w:r w:rsidR="00833D7D">
        <w:rPr>
          <w:rFonts w:ascii="Times New Roman" w:hAnsi="Times New Roman" w:cs="Times New Roman"/>
          <w:sz w:val="24"/>
          <w:szCs w:val="24"/>
        </w:rPr>
        <w:t xml:space="preserve">do Brasil </w:t>
      </w:r>
      <w:r w:rsidRPr="0096284A">
        <w:rPr>
          <w:rFonts w:ascii="Times New Roman" w:hAnsi="Times New Roman" w:cs="Times New Roman"/>
          <w:sz w:val="24"/>
          <w:szCs w:val="24"/>
        </w:rPr>
        <w:t xml:space="preserve">de 1988 (CF/88) apresenta diversas normas que visam proteger e garantir um meio ambiente saudável à sua população. </w:t>
      </w:r>
      <w:r w:rsidR="00FE1CCE">
        <w:rPr>
          <w:rFonts w:ascii="Times New Roman" w:hAnsi="Times New Roman" w:cs="Times New Roman"/>
          <w:sz w:val="24"/>
          <w:szCs w:val="24"/>
        </w:rPr>
        <w:t>O artigo 225 traz os</w:t>
      </w:r>
      <w:r w:rsidRPr="0096284A">
        <w:rPr>
          <w:rFonts w:ascii="Times New Roman" w:hAnsi="Times New Roman" w:cs="Times New Roman"/>
          <w:sz w:val="24"/>
          <w:szCs w:val="24"/>
        </w:rPr>
        <w:t xml:space="preserve"> princípios gerais sobre o tema, </w:t>
      </w:r>
      <w:r w:rsidR="00FE1CCE">
        <w:rPr>
          <w:rFonts w:ascii="Times New Roman" w:hAnsi="Times New Roman" w:cs="Times New Roman"/>
          <w:sz w:val="24"/>
          <w:szCs w:val="24"/>
        </w:rPr>
        <w:t xml:space="preserve">e </w:t>
      </w:r>
      <w:r w:rsidRPr="0096284A">
        <w:rPr>
          <w:rFonts w:ascii="Times New Roman" w:hAnsi="Times New Roman" w:cs="Times New Roman"/>
          <w:sz w:val="24"/>
          <w:szCs w:val="24"/>
        </w:rPr>
        <w:t>dispõe que, não só o Poder Público, mas toda a coletividade tem o dever de preservação ambiental (BRASIL, 1988). Reforçando a responsabilidade ambiental da sociedade, em janeiro de 1990 entra em vigor o Decreto 98.914, que institui as Reservas Particulares do Patrimônio Natural (</w:t>
      </w:r>
      <w:proofErr w:type="spellStart"/>
      <w:r w:rsidRPr="0096284A">
        <w:rPr>
          <w:rFonts w:ascii="Times New Roman" w:hAnsi="Times New Roman" w:cs="Times New Roman"/>
          <w:sz w:val="24"/>
          <w:szCs w:val="24"/>
        </w:rPr>
        <w:t>RPPNs</w:t>
      </w:r>
      <w:proofErr w:type="spellEnd"/>
      <w:r w:rsidRPr="0096284A">
        <w:rPr>
          <w:rFonts w:ascii="Times New Roman" w:hAnsi="Times New Roman" w:cs="Times New Roman"/>
          <w:sz w:val="24"/>
          <w:szCs w:val="24"/>
        </w:rPr>
        <w:t xml:space="preserve">) no ordenamento jurídico </w:t>
      </w:r>
      <w:r w:rsidR="00833D7D">
        <w:rPr>
          <w:rFonts w:ascii="Times New Roman" w:hAnsi="Times New Roman" w:cs="Times New Roman"/>
          <w:sz w:val="24"/>
          <w:szCs w:val="24"/>
        </w:rPr>
        <w:t>nacional</w:t>
      </w:r>
      <w:r w:rsidRPr="0096284A">
        <w:rPr>
          <w:rFonts w:ascii="Times New Roman" w:hAnsi="Times New Roman" w:cs="Times New Roman"/>
          <w:sz w:val="24"/>
          <w:szCs w:val="24"/>
        </w:rPr>
        <w:t>. No ano 2000 (Lei 9.985), de forma pioneira na América Latina, a RPPN é incluída no rol de unidades de conservação (</w:t>
      </w:r>
      <w:proofErr w:type="spellStart"/>
      <w:r w:rsidRPr="0096284A">
        <w:rPr>
          <w:rFonts w:ascii="Times New Roman" w:hAnsi="Times New Roman" w:cs="Times New Roman"/>
          <w:sz w:val="24"/>
          <w:szCs w:val="24"/>
        </w:rPr>
        <w:t>UCs</w:t>
      </w:r>
      <w:proofErr w:type="spellEnd"/>
      <w:r w:rsidRPr="0096284A">
        <w:rPr>
          <w:rFonts w:ascii="Times New Roman" w:hAnsi="Times New Roman" w:cs="Times New Roman"/>
          <w:sz w:val="24"/>
          <w:szCs w:val="24"/>
        </w:rPr>
        <w:t xml:space="preserve">) oficiais </w:t>
      </w:r>
      <w:r w:rsidR="00833D7D">
        <w:rPr>
          <w:rFonts w:ascii="Times New Roman" w:hAnsi="Times New Roman" w:cs="Times New Roman"/>
          <w:sz w:val="24"/>
          <w:szCs w:val="24"/>
        </w:rPr>
        <w:t>brasileiras</w:t>
      </w:r>
      <w:r w:rsidRPr="0096284A">
        <w:rPr>
          <w:rFonts w:ascii="Times New Roman" w:hAnsi="Times New Roman" w:cs="Times New Roman"/>
          <w:sz w:val="24"/>
          <w:szCs w:val="24"/>
        </w:rPr>
        <w:t xml:space="preserve"> (OJIDOS et. al., 2018). </w:t>
      </w:r>
    </w:p>
    <w:p w:rsidR="0096284A" w:rsidRPr="0096284A" w:rsidRDefault="0096284A" w:rsidP="0096284A">
      <w:pPr>
        <w:spacing w:line="360" w:lineRule="auto"/>
        <w:jc w:val="both"/>
        <w:rPr>
          <w:rFonts w:ascii="Times New Roman" w:hAnsi="Times New Roman" w:cs="Times New Roman"/>
          <w:sz w:val="24"/>
          <w:szCs w:val="24"/>
        </w:rPr>
      </w:pPr>
      <w:r w:rsidRPr="0096284A">
        <w:rPr>
          <w:rFonts w:ascii="Times New Roman" w:hAnsi="Times New Roman" w:cs="Times New Roman"/>
          <w:sz w:val="24"/>
          <w:szCs w:val="24"/>
        </w:rPr>
        <w:tab/>
        <w:t xml:space="preserve">Como o nome adianta, a RPPN “é uma área privada, gravada com perpetuidade, com o objetivo de conservar a diversidade biológica” (BRASIL, 2000, p. 09). Assim, o particular, de forma voluntária e com a participação de órgão ambiental, averba na Matrícula de seu imóvel, perpetuamente, que determinada extensão de sua propriedade será destinada exclusivamente à proteção dos recursos naturais.  </w:t>
      </w:r>
    </w:p>
    <w:p w:rsidR="0096284A" w:rsidRPr="0096284A" w:rsidRDefault="0096284A" w:rsidP="0096284A">
      <w:pPr>
        <w:spacing w:line="360" w:lineRule="auto"/>
        <w:jc w:val="both"/>
        <w:rPr>
          <w:rFonts w:ascii="Times New Roman" w:hAnsi="Times New Roman" w:cs="Times New Roman"/>
          <w:sz w:val="24"/>
          <w:szCs w:val="24"/>
        </w:rPr>
      </w:pPr>
      <w:r w:rsidRPr="0096284A">
        <w:rPr>
          <w:rFonts w:ascii="Times New Roman" w:hAnsi="Times New Roman" w:cs="Times New Roman"/>
          <w:sz w:val="24"/>
          <w:szCs w:val="24"/>
        </w:rPr>
        <w:tab/>
        <w:t xml:space="preserve">No Estado de Goiás, Pirenópolis é o município que dispõe da maior quantidade de </w:t>
      </w:r>
      <w:proofErr w:type="spellStart"/>
      <w:r w:rsidRPr="0096284A">
        <w:rPr>
          <w:rFonts w:ascii="Times New Roman" w:hAnsi="Times New Roman" w:cs="Times New Roman"/>
          <w:sz w:val="24"/>
          <w:szCs w:val="24"/>
        </w:rPr>
        <w:t>RPPNs</w:t>
      </w:r>
      <w:proofErr w:type="spellEnd"/>
      <w:r w:rsidRPr="0096284A">
        <w:rPr>
          <w:rFonts w:ascii="Times New Roman" w:hAnsi="Times New Roman" w:cs="Times New Roman"/>
          <w:sz w:val="24"/>
          <w:szCs w:val="24"/>
        </w:rPr>
        <w:t xml:space="preserve"> em seu território, ao todo são 16 reservas, totalizando 1.397,08ha de áreas do cerrado preservadas, além de contar com uma das reservas pioneiras do Brasil, a RPPN Fazenda </w:t>
      </w:r>
      <w:proofErr w:type="spellStart"/>
      <w:r w:rsidRPr="0096284A">
        <w:rPr>
          <w:rFonts w:ascii="Times New Roman" w:hAnsi="Times New Roman" w:cs="Times New Roman"/>
          <w:sz w:val="24"/>
          <w:szCs w:val="24"/>
        </w:rPr>
        <w:t>Vagafogo</w:t>
      </w:r>
      <w:proofErr w:type="spellEnd"/>
      <w:r w:rsidRPr="0096284A">
        <w:rPr>
          <w:rFonts w:ascii="Times New Roman" w:hAnsi="Times New Roman" w:cs="Times New Roman"/>
          <w:sz w:val="24"/>
          <w:szCs w:val="24"/>
        </w:rPr>
        <w:t xml:space="preserve"> Boa Vista, constituída pouco mais de 04 meses após a </w:t>
      </w:r>
      <w:r w:rsidR="00833D7D">
        <w:rPr>
          <w:rFonts w:ascii="Times New Roman" w:hAnsi="Times New Roman" w:cs="Times New Roman"/>
          <w:sz w:val="24"/>
          <w:szCs w:val="24"/>
        </w:rPr>
        <w:t xml:space="preserve">entrada em vigor </w:t>
      </w:r>
      <w:r w:rsidRPr="0096284A">
        <w:rPr>
          <w:rFonts w:ascii="Times New Roman" w:hAnsi="Times New Roman" w:cs="Times New Roman"/>
          <w:sz w:val="24"/>
          <w:szCs w:val="24"/>
        </w:rPr>
        <w:t>do Decreto 98914/90 (ICM-BIO, 2021).</w:t>
      </w:r>
    </w:p>
    <w:p w:rsidR="00833D7D" w:rsidRDefault="0096284A" w:rsidP="0096284A">
      <w:pPr>
        <w:spacing w:line="360" w:lineRule="auto"/>
        <w:jc w:val="both"/>
        <w:rPr>
          <w:rFonts w:ascii="Times New Roman" w:hAnsi="Times New Roman" w:cs="Times New Roman"/>
          <w:sz w:val="24"/>
          <w:szCs w:val="24"/>
        </w:rPr>
      </w:pPr>
      <w:r w:rsidRPr="0096284A">
        <w:rPr>
          <w:rFonts w:ascii="Times New Roman" w:hAnsi="Times New Roman" w:cs="Times New Roman"/>
          <w:sz w:val="24"/>
          <w:szCs w:val="24"/>
        </w:rPr>
        <w:tab/>
        <w:t xml:space="preserve">As vantagens econômicas percebidas pelo particular que constitui uma RPPN são essencialmente a isenção do pagamento do Imposto Territorial Rural (ITR) e preferências na análise de projetos e na concessão de crédito agrícola. Como tais benefícios se mostram limitados, o proprietário, além de destinar parte de seu patrimônio particular à proteção ambiental, também precisa encontrar recursos para arcar com os custos permanentes para manutenção da reserva. </w:t>
      </w:r>
    </w:p>
    <w:p w:rsidR="0096284A" w:rsidRDefault="00833D7D" w:rsidP="0096284A">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6284A" w:rsidRPr="0096284A">
        <w:rPr>
          <w:rFonts w:ascii="Times New Roman" w:hAnsi="Times New Roman" w:cs="Times New Roman"/>
          <w:sz w:val="24"/>
          <w:szCs w:val="24"/>
        </w:rPr>
        <w:t>Com o estudo pretende-se verificar se políticas públicas como o i</w:t>
      </w:r>
      <w:r w:rsidR="0096284A" w:rsidRPr="0096284A">
        <w:rPr>
          <w:rStyle w:val="hgkelc"/>
          <w:rFonts w:ascii="Times New Roman" w:hAnsi="Times New Roman" w:cs="Times New Roman"/>
          <w:sz w:val="24"/>
          <w:szCs w:val="24"/>
        </w:rPr>
        <w:t>mposto sobre circulação de mercadorias e prestação de serviços de transporte interestadual e intermunicipal e comunicação (</w:t>
      </w:r>
      <w:r w:rsidR="0096284A" w:rsidRPr="0096284A">
        <w:rPr>
          <w:rFonts w:ascii="Times New Roman" w:hAnsi="Times New Roman" w:cs="Times New Roman"/>
          <w:sz w:val="24"/>
          <w:szCs w:val="24"/>
        </w:rPr>
        <w:t xml:space="preserve">ICMS ecológico) podem ser instrumentos relevantes para auxiliar os proprietários das reservas. </w:t>
      </w:r>
    </w:p>
    <w:p w:rsidR="005A2FEA" w:rsidRDefault="00357611" w:rsidP="00357611">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lastRenderedPageBreak/>
        <w:t>M</w:t>
      </w:r>
      <w:r w:rsidRPr="006627A8">
        <w:rPr>
          <w:rFonts w:ascii="Times New Roman" w:eastAsia="Times New Roman" w:hAnsi="Times New Roman" w:cs="Times New Roman"/>
          <w:b/>
          <w:smallCaps/>
          <w:color w:val="1F497D" w:themeColor="text2"/>
          <w:sz w:val="24"/>
          <w:szCs w:val="24"/>
        </w:rPr>
        <w:t>ETODOLOGIA</w:t>
      </w:r>
    </w:p>
    <w:p w:rsidR="0096284A" w:rsidRPr="0096284A" w:rsidRDefault="00B038B6" w:rsidP="0096284A">
      <w:pPr>
        <w:spacing w:line="360" w:lineRule="auto"/>
        <w:jc w:val="both"/>
        <w:rPr>
          <w:rFonts w:ascii="Times New Roman" w:hAnsi="Times New Roman" w:cs="Times New Roman"/>
          <w:sz w:val="24"/>
          <w:szCs w:val="24"/>
        </w:rPr>
      </w:pPr>
      <w:r>
        <w:rPr>
          <w:rFonts w:ascii="Times New Roman" w:eastAsia="Times New Roman" w:hAnsi="Times New Roman" w:cs="Times New Roman"/>
          <w:b/>
          <w:smallCaps/>
          <w:color w:val="000000"/>
        </w:rPr>
        <w:tab/>
      </w:r>
      <w:r w:rsidR="0096284A" w:rsidRPr="0096284A">
        <w:rPr>
          <w:rFonts w:ascii="Times New Roman" w:hAnsi="Times New Roman" w:cs="Times New Roman"/>
          <w:sz w:val="24"/>
          <w:szCs w:val="24"/>
        </w:rPr>
        <w:t xml:space="preserve">A pesquisa visa ser aplicada e descritiva, pois pretende entender como a unidade de conservação do tipo RPPN se organiza na realidade e quais os obstáculos que enfrentam para exercer plenamente seu propósito conservacionista. Quanto à abordagem do problema, é </w:t>
      </w:r>
      <w:proofErr w:type="spellStart"/>
      <w:r w:rsidR="0096284A" w:rsidRPr="0096284A">
        <w:rPr>
          <w:rFonts w:ascii="Times New Roman" w:hAnsi="Times New Roman" w:cs="Times New Roman"/>
          <w:sz w:val="24"/>
          <w:szCs w:val="24"/>
        </w:rPr>
        <w:t>quali</w:t>
      </w:r>
      <w:proofErr w:type="spellEnd"/>
      <w:r w:rsidR="0096284A" w:rsidRPr="0096284A">
        <w:rPr>
          <w:rFonts w:ascii="Times New Roman" w:hAnsi="Times New Roman" w:cs="Times New Roman"/>
          <w:sz w:val="24"/>
          <w:szCs w:val="24"/>
        </w:rPr>
        <w:t xml:space="preserve">-quantitativa, pois os dados coletados foram examinados com o intuito de compreender de forma mais ampla as relações sociais envolvidas no problema investigado e também houve o levantamento de informações em bancos de dados renomados e confiáveis para se fazer uma análise de conjuntura referente ao tema. As análises foram subsidiadas pelas discussões teóricas encontradas em livros e artigos científicos nacionais, preferencialmente publicações dos últimos cinco anos. </w:t>
      </w:r>
    </w:p>
    <w:p w:rsidR="0096284A" w:rsidRPr="00555532" w:rsidRDefault="0096284A" w:rsidP="0096284A">
      <w:pPr>
        <w:spacing w:line="360" w:lineRule="auto"/>
        <w:jc w:val="both"/>
        <w:rPr>
          <w:rFonts w:ascii="Arial" w:hAnsi="Arial" w:cs="Arial"/>
          <w:sz w:val="24"/>
          <w:szCs w:val="24"/>
        </w:rPr>
      </w:pPr>
      <w:r w:rsidRPr="0096284A">
        <w:rPr>
          <w:rFonts w:ascii="Times New Roman" w:hAnsi="Times New Roman" w:cs="Times New Roman"/>
          <w:sz w:val="24"/>
          <w:szCs w:val="24"/>
        </w:rPr>
        <w:tab/>
        <w:t>Utilizou-se como procedimento técnico a pesquisa bibliográfica e documental. O método científico foi o dedutivo, visto que por meio de informações existentes sobre o tema em âmbito nacional e feito um recorte espacial para melhor análise da realidade do município de Pirenópolis.</w:t>
      </w:r>
      <w:r w:rsidRPr="00555532">
        <w:rPr>
          <w:rFonts w:ascii="Arial" w:hAnsi="Arial" w:cs="Arial"/>
          <w:sz w:val="24"/>
          <w:szCs w:val="24"/>
        </w:rPr>
        <w:t xml:space="preserve"> </w:t>
      </w:r>
    </w:p>
    <w:p w:rsidR="00A078C8" w:rsidRDefault="00A078C8" w:rsidP="00357611">
      <w:pPr>
        <w:spacing w:line="360" w:lineRule="auto"/>
        <w:rPr>
          <w:rFonts w:ascii="Times New Roman" w:eastAsia="Times New Roman" w:hAnsi="Times New Roman" w:cs="Times New Roman"/>
          <w:b/>
          <w:smallCaps/>
          <w:color w:val="000000"/>
        </w:rPr>
      </w:pPr>
    </w:p>
    <w:p w:rsidR="003D68C8" w:rsidRDefault="00357611" w:rsidP="00D80CCD">
      <w:pPr>
        <w:spacing w:line="360" w:lineRule="auto"/>
        <w:rPr>
          <w:rFonts w:ascii="Times New Roman" w:eastAsia="Times New Roman" w:hAnsi="Times New Roman" w:cs="Times New Roman"/>
          <w:b/>
          <w:smallCaps/>
          <w:color w:val="1F497D" w:themeColor="text2"/>
          <w:sz w:val="24"/>
          <w:szCs w:val="24"/>
        </w:rPr>
      </w:pPr>
      <w:r w:rsidRPr="006627A8">
        <w:rPr>
          <w:rFonts w:ascii="Times New Roman" w:eastAsia="Times New Roman" w:hAnsi="Times New Roman" w:cs="Times New Roman"/>
          <w:b/>
          <w:smallCaps/>
          <w:color w:val="1F497D" w:themeColor="text2"/>
          <w:sz w:val="56"/>
          <w:szCs w:val="56"/>
        </w:rPr>
        <w:t>R</w:t>
      </w:r>
      <w:r w:rsidRPr="006627A8">
        <w:rPr>
          <w:rFonts w:ascii="Times New Roman" w:eastAsia="Times New Roman" w:hAnsi="Times New Roman" w:cs="Times New Roman"/>
          <w:b/>
          <w:smallCaps/>
          <w:color w:val="1F497D" w:themeColor="text2"/>
          <w:sz w:val="24"/>
          <w:szCs w:val="24"/>
        </w:rPr>
        <w:t xml:space="preserve">ESULTADOS E </w:t>
      </w:r>
      <w:r w:rsidRPr="006627A8">
        <w:rPr>
          <w:rFonts w:ascii="Times New Roman" w:eastAsia="Times New Roman" w:hAnsi="Times New Roman" w:cs="Times New Roman"/>
          <w:b/>
          <w:smallCaps/>
          <w:color w:val="1F497D" w:themeColor="text2"/>
          <w:sz w:val="56"/>
          <w:szCs w:val="56"/>
        </w:rPr>
        <w:t>D</w:t>
      </w:r>
      <w:r w:rsidRPr="006627A8">
        <w:rPr>
          <w:rFonts w:ascii="Times New Roman" w:eastAsia="Times New Roman" w:hAnsi="Times New Roman" w:cs="Times New Roman"/>
          <w:b/>
          <w:smallCaps/>
          <w:color w:val="1F497D" w:themeColor="text2"/>
          <w:sz w:val="24"/>
          <w:szCs w:val="24"/>
        </w:rPr>
        <w:t>ISCUSSÃO</w:t>
      </w:r>
    </w:p>
    <w:p w:rsidR="007E50AE" w:rsidRPr="007E50AE" w:rsidRDefault="007E50AE" w:rsidP="007E50AE">
      <w:pPr>
        <w:spacing w:line="360" w:lineRule="auto"/>
        <w:jc w:val="both"/>
        <w:rPr>
          <w:rFonts w:ascii="Times New Roman" w:hAnsi="Times New Roman" w:cs="Times New Roman"/>
          <w:b/>
          <w:color w:val="002060"/>
          <w:sz w:val="24"/>
          <w:szCs w:val="24"/>
        </w:rPr>
      </w:pPr>
      <w:r w:rsidRPr="007E50AE">
        <w:rPr>
          <w:rFonts w:ascii="Times New Roman" w:hAnsi="Times New Roman" w:cs="Times New Roman"/>
          <w:b/>
          <w:color w:val="002060"/>
          <w:sz w:val="24"/>
          <w:szCs w:val="24"/>
        </w:rPr>
        <w:t xml:space="preserve">As Unidades de Conservação e as </w:t>
      </w:r>
      <w:proofErr w:type="spellStart"/>
      <w:r w:rsidRPr="007E50AE">
        <w:rPr>
          <w:rFonts w:ascii="Times New Roman" w:hAnsi="Times New Roman" w:cs="Times New Roman"/>
          <w:b/>
          <w:color w:val="002060"/>
          <w:sz w:val="24"/>
          <w:szCs w:val="24"/>
        </w:rPr>
        <w:t>RPPNs</w:t>
      </w:r>
      <w:proofErr w:type="spellEnd"/>
    </w:p>
    <w:p w:rsidR="007E50AE" w:rsidRPr="007E50AE" w:rsidRDefault="007E50AE" w:rsidP="007E50AE">
      <w:pPr>
        <w:spacing w:line="360" w:lineRule="auto"/>
        <w:jc w:val="both"/>
        <w:rPr>
          <w:rFonts w:ascii="Times New Roman" w:hAnsi="Times New Roman" w:cs="Times New Roman"/>
          <w:sz w:val="24"/>
          <w:szCs w:val="24"/>
        </w:rPr>
      </w:pPr>
      <w:r w:rsidRPr="00555532">
        <w:rPr>
          <w:rFonts w:ascii="Arial" w:hAnsi="Arial" w:cs="Arial"/>
          <w:sz w:val="24"/>
          <w:szCs w:val="24"/>
        </w:rPr>
        <w:tab/>
      </w:r>
      <w:r w:rsidRPr="007E50AE">
        <w:rPr>
          <w:rFonts w:ascii="Times New Roman" w:hAnsi="Times New Roman" w:cs="Times New Roman"/>
          <w:sz w:val="24"/>
          <w:szCs w:val="24"/>
        </w:rPr>
        <w:t xml:space="preserve">A CF/88, observando os Direitos Fundamentais de terceira geração, ligados aos valores de solidariedade e fraternidade, trouxe em seu texto normas que visam proteger e garantir um meio ambiente saudável às gerações presentes e futuras de sua população. Visando cumprir as disposições constitucionais, no ano 2000 é publicada a Lei 9.985 que instituiu o Sistema Nacional de Unidades de Conservação (SNUC).  </w:t>
      </w:r>
    </w:p>
    <w:p w:rsidR="007E50AE" w:rsidRPr="007E50AE" w:rsidRDefault="007E50AE" w:rsidP="007E50AE">
      <w:pPr>
        <w:spacing w:line="360" w:lineRule="auto"/>
        <w:jc w:val="both"/>
        <w:rPr>
          <w:rFonts w:ascii="Times New Roman" w:hAnsi="Times New Roman" w:cs="Times New Roman"/>
          <w:sz w:val="24"/>
          <w:szCs w:val="24"/>
        </w:rPr>
      </w:pPr>
      <w:r w:rsidRPr="007E50AE">
        <w:rPr>
          <w:rFonts w:ascii="Times New Roman" w:hAnsi="Times New Roman" w:cs="Times New Roman"/>
          <w:sz w:val="24"/>
          <w:szCs w:val="24"/>
        </w:rPr>
        <w:tab/>
        <w:t xml:space="preserve">Essa norma dispõe que as Unidades de Conservação podem ser classificadas como de Proteção Integral e de Proteção Sustentável. As primeiras possuem como objetivo primordial a preservação da natureza, não se permitindo a intervenção humana, exceto para a manutenção dos processos ecológicos ou pesquisas científicas. Já as de Proteção Sustentável, gênero que por disposição legal se localiza as </w:t>
      </w:r>
      <w:proofErr w:type="spellStart"/>
      <w:r w:rsidRPr="007E50AE">
        <w:rPr>
          <w:rFonts w:ascii="Times New Roman" w:hAnsi="Times New Roman" w:cs="Times New Roman"/>
          <w:sz w:val="24"/>
          <w:szCs w:val="24"/>
        </w:rPr>
        <w:t>RPPNs</w:t>
      </w:r>
      <w:proofErr w:type="spellEnd"/>
      <w:r w:rsidRPr="007E50AE">
        <w:rPr>
          <w:rFonts w:ascii="Times New Roman" w:hAnsi="Times New Roman" w:cs="Times New Roman"/>
          <w:sz w:val="24"/>
          <w:szCs w:val="24"/>
        </w:rPr>
        <w:t xml:space="preserve">, têm como escopo principal harmonizar a proteção da biodiversidade e da natureza com o uso sustentável de </w:t>
      </w:r>
      <w:r w:rsidRPr="007E50AE">
        <w:rPr>
          <w:rFonts w:ascii="Times New Roman" w:hAnsi="Times New Roman" w:cs="Times New Roman"/>
          <w:sz w:val="24"/>
          <w:szCs w:val="24"/>
        </w:rPr>
        <w:lastRenderedPageBreak/>
        <w:t xml:space="preserve">parte de seus recursos naturais pelas populações locais (OLIVEIRA, 2017). </w:t>
      </w:r>
    </w:p>
    <w:p w:rsidR="007E50AE" w:rsidRPr="007E50AE" w:rsidRDefault="007E50AE" w:rsidP="007E50AE">
      <w:pPr>
        <w:spacing w:line="360" w:lineRule="auto"/>
        <w:jc w:val="both"/>
        <w:rPr>
          <w:rFonts w:ascii="Times New Roman" w:hAnsi="Times New Roman" w:cs="Times New Roman"/>
          <w:sz w:val="24"/>
          <w:szCs w:val="24"/>
        </w:rPr>
      </w:pPr>
      <w:r w:rsidRPr="007E50AE">
        <w:rPr>
          <w:rFonts w:ascii="Times New Roman" w:hAnsi="Times New Roman" w:cs="Times New Roman"/>
          <w:sz w:val="24"/>
          <w:szCs w:val="24"/>
        </w:rPr>
        <w:tab/>
        <w:t xml:space="preserve">O artigo 21, §2º do SNUC expressamente estabelece que as atividades possíveis dentro de uma RPPN são o ecoturismo, a educação ambiental e a pesquisa científica. Assim, qualquer outra atividade é vedada, sob pena de aplicação de punições previstas na Lei de Crimes Ambientais (Lei 9.605/98). Interessante constatar que as atividades permitidas para as reservas particulares são as mesmas autorizadas para as unidades de proteção integral. </w:t>
      </w:r>
    </w:p>
    <w:p w:rsidR="007E50AE" w:rsidRPr="007E50AE" w:rsidRDefault="007E50AE" w:rsidP="007E50AE">
      <w:pPr>
        <w:spacing w:line="360" w:lineRule="auto"/>
        <w:jc w:val="both"/>
        <w:rPr>
          <w:rFonts w:ascii="Times New Roman" w:hAnsi="Times New Roman" w:cs="Times New Roman"/>
          <w:sz w:val="24"/>
          <w:szCs w:val="24"/>
        </w:rPr>
      </w:pPr>
      <w:r w:rsidRPr="007E50AE">
        <w:rPr>
          <w:rFonts w:ascii="Times New Roman" w:hAnsi="Times New Roman" w:cs="Times New Roman"/>
          <w:sz w:val="24"/>
          <w:szCs w:val="24"/>
        </w:rPr>
        <w:tab/>
        <w:t xml:space="preserve">Tal situação ocorre pelo fato de que o art. 21 do SNUC, originalmente, contava com um parágrafo terceiro que permitia a atividade extrativista dentro das </w:t>
      </w:r>
      <w:proofErr w:type="spellStart"/>
      <w:r w:rsidRPr="007E50AE">
        <w:rPr>
          <w:rFonts w:ascii="Times New Roman" w:hAnsi="Times New Roman" w:cs="Times New Roman"/>
          <w:sz w:val="24"/>
          <w:szCs w:val="24"/>
        </w:rPr>
        <w:t>RPPNs</w:t>
      </w:r>
      <w:proofErr w:type="spellEnd"/>
      <w:r w:rsidRPr="007E50AE">
        <w:rPr>
          <w:rFonts w:ascii="Times New Roman" w:hAnsi="Times New Roman" w:cs="Times New Roman"/>
          <w:sz w:val="24"/>
          <w:szCs w:val="24"/>
        </w:rPr>
        <w:t xml:space="preserve">. Tal disposição abria oportunidade para que se explorasse até mesmo a mineração nessas terras. Por entender que tal parágrafo desvirtuaria os propósitos conservacionistas e seria contrário ao interesse público, essa disposição sofreu veto presidencial. Desta forma, mesmo que legalmente as reservas particulares </w:t>
      </w:r>
      <w:r w:rsidR="00833D7D">
        <w:rPr>
          <w:rFonts w:ascii="Times New Roman" w:hAnsi="Times New Roman" w:cs="Times New Roman"/>
          <w:sz w:val="24"/>
          <w:szCs w:val="24"/>
        </w:rPr>
        <w:t xml:space="preserve">são consideradas </w:t>
      </w:r>
      <w:r w:rsidRPr="007E50AE">
        <w:rPr>
          <w:rFonts w:ascii="Times New Roman" w:hAnsi="Times New Roman" w:cs="Times New Roman"/>
          <w:sz w:val="24"/>
          <w:szCs w:val="24"/>
        </w:rPr>
        <w:t xml:space="preserve">unidades de proteção sustentável, de fato, são de proteção integral (WIEDMANN; GUAGLIARDI, 2018). </w:t>
      </w:r>
    </w:p>
    <w:p w:rsidR="007E50AE" w:rsidRPr="007E50AE" w:rsidRDefault="007E50AE" w:rsidP="007E50AE">
      <w:pPr>
        <w:spacing w:line="360" w:lineRule="auto"/>
        <w:jc w:val="both"/>
        <w:rPr>
          <w:rFonts w:ascii="Times New Roman" w:hAnsi="Times New Roman" w:cs="Times New Roman"/>
          <w:sz w:val="24"/>
          <w:szCs w:val="24"/>
        </w:rPr>
      </w:pPr>
      <w:r w:rsidRPr="007E50AE">
        <w:rPr>
          <w:rFonts w:ascii="Times New Roman" w:hAnsi="Times New Roman" w:cs="Times New Roman"/>
          <w:sz w:val="24"/>
          <w:szCs w:val="24"/>
        </w:rPr>
        <w:tab/>
      </w:r>
      <w:proofErr w:type="spellStart"/>
      <w:r w:rsidRPr="007E50AE">
        <w:rPr>
          <w:rFonts w:ascii="Times New Roman" w:hAnsi="Times New Roman" w:cs="Times New Roman"/>
          <w:sz w:val="24"/>
          <w:szCs w:val="24"/>
        </w:rPr>
        <w:t>Ojidos</w:t>
      </w:r>
      <w:proofErr w:type="spellEnd"/>
      <w:r w:rsidRPr="007E50AE">
        <w:rPr>
          <w:rFonts w:ascii="Times New Roman" w:hAnsi="Times New Roman" w:cs="Times New Roman"/>
          <w:sz w:val="24"/>
          <w:szCs w:val="24"/>
        </w:rPr>
        <w:t xml:space="preserve"> et. al. (2018) ensina que apesar das </w:t>
      </w:r>
      <w:proofErr w:type="spellStart"/>
      <w:r w:rsidRPr="007E50AE">
        <w:rPr>
          <w:rFonts w:ascii="Times New Roman" w:hAnsi="Times New Roman" w:cs="Times New Roman"/>
          <w:sz w:val="24"/>
          <w:szCs w:val="24"/>
        </w:rPr>
        <w:t>RPPNs</w:t>
      </w:r>
      <w:proofErr w:type="spellEnd"/>
      <w:r w:rsidRPr="007E50AE">
        <w:rPr>
          <w:rFonts w:ascii="Times New Roman" w:hAnsi="Times New Roman" w:cs="Times New Roman"/>
          <w:sz w:val="24"/>
          <w:szCs w:val="24"/>
        </w:rPr>
        <w:t xml:space="preserve"> abrangerem áreas relativamente pequenas, elas contribuem para a preservação da biodiversidade sem demandar recursos públicos, visto que todos os custos para criação e gestão das reservas correm por conta de seus proprietários. Como podem ser criadas mais facilmente que as </w:t>
      </w:r>
      <w:proofErr w:type="spellStart"/>
      <w:r w:rsidRPr="007E50AE">
        <w:rPr>
          <w:rFonts w:ascii="Times New Roman" w:hAnsi="Times New Roman" w:cs="Times New Roman"/>
          <w:sz w:val="24"/>
          <w:szCs w:val="24"/>
        </w:rPr>
        <w:t>UCs</w:t>
      </w:r>
      <w:proofErr w:type="spellEnd"/>
      <w:r w:rsidRPr="007E50AE">
        <w:rPr>
          <w:rFonts w:ascii="Times New Roman" w:hAnsi="Times New Roman" w:cs="Times New Roman"/>
          <w:sz w:val="24"/>
          <w:szCs w:val="24"/>
        </w:rPr>
        <w:t xml:space="preserve"> públicas, são capazes de auxiliar na proteção de habitats que ainda não sejam amparados por lei, tutelar espécies endêmicas de ocorrência restrita, amparar as zonas de amortecimento e ainda “desempenhar um papel significativo na conectividade entre fragmentos maiores de vegetação, agindo como “trampolins” (</w:t>
      </w:r>
      <w:proofErr w:type="spellStart"/>
      <w:r w:rsidRPr="007E50AE">
        <w:rPr>
          <w:rFonts w:ascii="Times New Roman" w:hAnsi="Times New Roman" w:cs="Times New Roman"/>
          <w:i/>
          <w:sz w:val="24"/>
          <w:szCs w:val="24"/>
        </w:rPr>
        <w:t>stepping</w:t>
      </w:r>
      <w:proofErr w:type="spellEnd"/>
      <w:r w:rsidRPr="007E50AE">
        <w:rPr>
          <w:rFonts w:ascii="Times New Roman" w:hAnsi="Times New Roman" w:cs="Times New Roman"/>
          <w:i/>
          <w:sz w:val="24"/>
          <w:szCs w:val="24"/>
        </w:rPr>
        <w:t xml:space="preserve"> </w:t>
      </w:r>
      <w:proofErr w:type="spellStart"/>
      <w:r w:rsidRPr="007E50AE">
        <w:rPr>
          <w:rFonts w:ascii="Times New Roman" w:hAnsi="Times New Roman" w:cs="Times New Roman"/>
          <w:i/>
          <w:sz w:val="24"/>
          <w:szCs w:val="24"/>
        </w:rPr>
        <w:t>stones</w:t>
      </w:r>
      <w:proofErr w:type="spellEnd"/>
      <w:r w:rsidRPr="007E50AE">
        <w:rPr>
          <w:rFonts w:ascii="Times New Roman" w:hAnsi="Times New Roman" w:cs="Times New Roman"/>
          <w:sz w:val="24"/>
          <w:szCs w:val="24"/>
        </w:rPr>
        <w:t>) para diferentes espécies ou compondo corredores ecológicos e mosaicos de áreas protegidas de diferentes categorias de conservação” (NETO, 2017, p. 33).</w:t>
      </w:r>
    </w:p>
    <w:p w:rsidR="007E50AE" w:rsidRPr="007E50AE" w:rsidRDefault="007E50AE" w:rsidP="007E50AE">
      <w:pPr>
        <w:spacing w:line="360" w:lineRule="auto"/>
        <w:jc w:val="both"/>
        <w:rPr>
          <w:rFonts w:ascii="Times New Roman" w:hAnsi="Times New Roman" w:cs="Times New Roman"/>
          <w:sz w:val="24"/>
          <w:szCs w:val="24"/>
        </w:rPr>
      </w:pPr>
      <w:r w:rsidRPr="007E50AE">
        <w:rPr>
          <w:rFonts w:ascii="Times New Roman" w:hAnsi="Times New Roman" w:cs="Times New Roman"/>
          <w:sz w:val="24"/>
          <w:szCs w:val="24"/>
        </w:rPr>
        <w:tab/>
        <w:t xml:space="preserve">Dados da Confederação Nacional de Reservas Particulares do Patrimônio Natural (CNRPPN) revelam que atualmente no Brasil existem 1.691 reservas particulares, protegendo 808.139,12 hectares de bens naturais. No ranking nacional, Curitiba se encontra na primeira posição com 34 </w:t>
      </w:r>
      <w:proofErr w:type="spellStart"/>
      <w:r w:rsidRPr="007E50AE">
        <w:rPr>
          <w:rFonts w:ascii="Times New Roman" w:hAnsi="Times New Roman" w:cs="Times New Roman"/>
          <w:sz w:val="24"/>
          <w:szCs w:val="24"/>
        </w:rPr>
        <w:t>RPPNs</w:t>
      </w:r>
      <w:proofErr w:type="spellEnd"/>
      <w:r w:rsidRPr="007E50AE">
        <w:rPr>
          <w:rFonts w:ascii="Times New Roman" w:hAnsi="Times New Roman" w:cs="Times New Roman"/>
          <w:sz w:val="24"/>
          <w:szCs w:val="24"/>
        </w:rPr>
        <w:t xml:space="preserve"> criadas em seu território e o município de Pirenópolis está na 6ª colocação (CNRPPN, 2021). </w:t>
      </w:r>
    </w:p>
    <w:p w:rsidR="007E50AE" w:rsidRPr="007E50AE" w:rsidRDefault="007E50AE" w:rsidP="007E50AE">
      <w:pPr>
        <w:spacing w:line="360" w:lineRule="auto"/>
        <w:jc w:val="both"/>
        <w:rPr>
          <w:rFonts w:ascii="Times New Roman" w:hAnsi="Times New Roman" w:cs="Times New Roman"/>
          <w:sz w:val="24"/>
          <w:szCs w:val="24"/>
        </w:rPr>
      </w:pPr>
    </w:p>
    <w:p w:rsidR="007032BB" w:rsidRDefault="007032BB" w:rsidP="007E50AE">
      <w:pPr>
        <w:jc w:val="center"/>
        <w:rPr>
          <w:rFonts w:ascii="Times New Roman" w:hAnsi="Times New Roman" w:cs="Times New Roman"/>
          <w:b/>
          <w:sz w:val="24"/>
          <w:szCs w:val="24"/>
        </w:rPr>
      </w:pPr>
    </w:p>
    <w:p w:rsidR="007032BB" w:rsidRDefault="007032BB" w:rsidP="007E50AE">
      <w:pPr>
        <w:jc w:val="center"/>
        <w:rPr>
          <w:rFonts w:ascii="Times New Roman" w:hAnsi="Times New Roman" w:cs="Times New Roman"/>
          <w:b/>
          <w:sz w:val="24"/>
          <w:szCs w:val="24"/>
        </w:rPr>
      </w:pPr>
    </w:p>
    <w:p w:rsidR="007E50AE" w:rsidRPr="007E50AE" w:rsidRDefault="007E50AE" w:rsidP="007E50AE">
      <w:pPr>
        <w:jc w:val="center"/>
        <w:rPr>
          <w:rFonts w:ascii="Times New Roman" w:hAnsi="Times New Roman" w:cs="Times New Roman"/>
          <w:sz w:val="24"/>
          <w:szCs w:val="24"/>
        </w:rPr>
      </w:pPr>
      <w:r w:rsidRPr="007E50AE">
        <w:rPr>
          <w:rFonts w:ascii="Times New Roman" w:hAnsi="Times New Roman" w:cs="Times New Roman"/>
          <w:b/>
          <w:sz w:val="24"/>
          <w:szCs w:val="24"/>
        </w:rPr>
        <w:lastRenderedPageBreak/>
        <w:t xml:space="preserve">Gráfico 1- </w:t>
      </w:r>
      <w:r w:rsidRPr="007E50AE">
        <w:rPr>
          <w:rFonts w:ascii="Times New Roman" w:hAnsi="Times New Roman" w:cs="Times New Roman"/>
          <w:sz w:val="24"/>
          <w:szCs w:val="24"/>
        </w:rPr>
        <w:t xml:space="preserve">Quantidade de </w:t>
      </w:r>
      <w:proofErr w:type="spellStart"/>
      <w:r w:rsidRPr="007E50AE">
        <w:rPr>
          <w:rFonts w:ascii="Times New Roman" w:hAnsi="Times New Roman" w:cs="Times New Roman"/>
          <w:sz w:val="24"/>
          <w:szCs w:val="24"/>
        </w:rPr>
        <w:t>RPPNs</w:t>
      </w:r>
      <w:proofErr w:type="spellEnd"/>
      <w:r w:rsidRPr="007E50AE">
        <w:rPr>
          <w:rFonts w:ascii="Times New Roman" w:hAnsi="Times New Roman" w:cs="Times New Roman"/>
          <w:sz w:val="24"/>
          <w:szCs w:val="24"/>
        </w:rPr>
        <w:t xml:space="preserve"> criadas anualmente no Brasil – 1990-2021</w:t>
      </w:r>
    </w:p>
    <w:p w:rsidR="007E50AE" w:rsidRPr="007E50AE" w:rsidRDefault="007E50AE" w:rsidP="007E50AE">
      <w:pPr>
        <w:spacing w:line="360" w:lineRule="auto"/>
        <w:jc w:val="center"/>
        <w:rPr>
          <w:rFonts w:ascii="Times New Roman" w:hAnsi="Times New Roman" w:cs="Times New Roman"/>
          <w:sz w:val="24"/>
          <w:szCs w:val="24"/>
        </w:rPr>
      </w:pPr>
      <w:r w:rsidRPr="007E50AE">
        <w:rPr>
          <w:rFonts w:ascii="Times New Roman" w:hAnsi="Times New Roman" w:cs="Times New Roman"/>
          <w:noProof/>
          <w:lang w:eastAsia="pt-BR" w:bidi="ar-SA"/>
        </w:rPr>
        <w:drawing>
          <wp:inline distT="0" distB="0" distL="0" distR="0" wp14:anchorId="4165485D" wp14:editId="6595ECC0">
            <wp:extent cx="5324475" cy="2000885"/>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E50AE" w:rsidRPr="007E50AE" w:rsidRDefault="007E50AE" w:rsidP="007E50AE">
      <w:pPr>
        <w:spacing w:line="360" w:lineRule="auto"/>
        <w:jc w:val="both"/>
        <w:rPr>
          <w:rFonts w:ascii="Times New Roman" w:hAnsi="Times New Roman" w:cs="Times New Roman"/>
          <w:sz w:val="24"/>
          <w:szCs w:val="24"/>
        </w:rPr>
      </w:pPr>
      <w:r w:rsidRPr="007E50AE">
        <w:rPr>
          <w:rFonts w:ascii="Times New Roman" w:hAnsi="Times New Roman" w:cs="Times New Roman"/>
          <w:b/>
          <w:sz w:val="20"/>
          <w:szCs w:val="20"/>
        </w:rPr>
        <w:t>Fonte:</w:t>
      </w:r>
      <w:r w:rsidRPr="007E50AE">
        <w:rPr>
          <w:rFonts w:ascii="Times New Roman" w:hAnsi="Times New Roman" w:cs="Times New Roman"/>
          <w:sz w:val="20"/>
          <w:szCs w:val="20"/>
        </w:rPr>
        <w:t xml:space="preserve"> Painel de Indicadores da Confederação Nacional de RPPN, CNRPPN, 2021. Elaborado pelas autoras.</w:t>
      </w:r>
    </w:p>
    <w:p w:rsidR="007E50AE" w:rsidRPr="007E50AE" w:rsidRDefault="007E50AE" w:rsidP="007E50AE">
      <w:pPr>
        <w:spacing w:line="360" w:lineRule="auto"/>
        <w:jc w:val="both"/>
        <w:rPr>
          <w:rFonts w:ascii="Times New Roman" w:hAnsi="Times New Roman" w:cs="Times New Roman"/>
          <w:sz w:val="24"/>
          <w:szCs w:val="24"/>
        </w:rPr>
      </w:pPr>
    </w:p>
    <w:p w:rsidR="007E50AE" w:rsidRPr="007E50AE" w:rsidRDefault="007E50AE" w:rsidP="007E50AE">
      <w:pPr>
        <w:spacing w:line="360" w:lineRule="auto"/>
        <w:jc w:val="both"/>
        <w:rPr>
          <w:rFonts w:ascii="Times New Roman" w:hAnsi="Times New Roman" w:cs="Times New Roman"/>
          <w:sz w:val="24"/>
          <w:szCs w:val="24"/>
        </w:rPr>
      </w:pPr>
      <w:r w:rsidRPr="007E50AE">
        <w:rPr>
          <w:rFonts w:ascii="Times New Roman" w:hAnsi="Times New Roman" w:cs="Times New Roman"/>
          <w:sz w:val="24"/>
          <w:szCs w:val="24"/>
        </w:rPr>
        <w:tab/>
        <w:t xml:space="preserve">No Gráfico 01 é possível observar que até 1996 foram criadas poucas </w:t>
      </w:r>
      <w:proofErr w:type="spellStart"/>
      <w:r w:rsidRPr="007E50AE">
        <w:rPr>
          <w:rFonts w:ascii="Times New Roman" w:hAnsi="Times New Roman" w:cs="Times New Roman"/>
          <w:sz w:val="24"/>
          <w:szCs w:val="24"/>
        </w:rPr>
        <w:t>RPNNs</w:t>
      </w:r>
      <w:proofErr w:type="spellEnd"/>
      <w:r w:rsidRPr="007E50AE">
        <w:rPr>
          <w:rFonts w:ascii="Times New Roman" w:hAnsi="Times New Roman" w:cs="Times New Roman"/>
          <w:sz w:val="24"/>
          <w:szCs w:val="24"/>
        </w:rPr>
        <w:t xml:space="preserve"> no país. O ano de 1998 foi quando se instituíram mais reservas </w:t>
      </w:r>
      <w:proofErr w:type="spellStart"/>
      <w:r w:rsidRPr="007E50AE">
        <w:rPr>
          <w:rFonts w:ascii="Times New Roman" w:hAnsi="Times New Roman" w:cs="Times New Roman"/>
          <w:sz w:val="24"/>
          <w:szCs w:val="24"/>
        </w:rPr>
        <w:t>privadas</w:t>
      </w:r>
      <w:proofErr w:type="spellEnd"/>
      <w:r w:rsidRPr="007E50AE">
        <w:rPr>
          <w:rFonts w:ascii="Times New Roman" w:hAnsi="Times New Roman" w:cs="Times New Roman"/>
          <w:sz w:val="24"/>
          <w:szCs w:val="24"/>
        </w:rPr>
        <w:t xml:space="preserve"> em todo o período histórico observado, das quais 64% foram estabelecidas por lei estadual do Paraná. De 1999 a 2018 percebe-se certa constância no gráfico, com exceção dos anos de 2003 a 2006 e 2015. De 2017 a meados de 2021 se pode verificar uma queda gradual na quantidade de </w:t>
      </w:r>
      <w:proofErr w:type="spellStart"/>
      <w:r w:rsidRPr="007E50AE">
        <w:rPr>
          <w:rFonts w:ascii="Times New Roman" w:hAnsi="Times New Roman" w:cs="Times New Roman"/>
          <w:sz w:val="24"/>
          <w:szCs w:val="24"/>
        </w:rPr>
        <w:t>RPPNs</w:t>
      </w:r>
      <w:proofErr w:type="spellEnd"/>
      <w:r w:rsidRPr="007E50AE">
        <w:rPr>
          <w:rFonts w:ascii="Times New Roman" w:hAnsi="Times New Roman" w:cs="Times New Roman"/>
          <w:sz w:val="24"/>
          <w:szCs w:val="24"/>
        </w:rPr>
        <w:t xml:space="preserve"> fundadas no país.     </w:t>
      </w:r>
      <w:r w:rsidRPr="007E50AE">
        <w:rPr>
          <w:rFonts w:ascii="Times New Roman" w:hAnsi="Times New Roman" w:cs="Times New Roman"/>
          <w:sz w:val="24"/>
          <w:szCs w:val="24"/>
        </w:rPr>
        <w:tab/>
      </w:r>
    </w:p>
    <w:p w:rsidR="007E50AE" w:rsidRDefault="007E50AE" w:rsidP="007E50AE">
      <w:pPr>
        <w:spacing w:line="360" w:lineRule="auto"/>
        <w:jc w:val="both"/>
        <w:rPr>
          <w:rFonts w:ascii="Times New Roman" w:hAnsi="Times New Roman" w:cs="Times New Roman"/>
          <w:sz w:val="24"/>
          <w:szCs w:val="24"/>
        </w:rPr>
      </w:pPr>
      <w:r w:rsidRPr="007E50AE">
        <w:rPr>
          <w:rFonts w:ascii="Times New Roman" w:hAnsi="Times New Roman" w:cs="Times New Roman"/>
          <w:sz w:val="24"/>
          <w:szCs w:val="24"/>
        </w:rPr>
        <w:tab/>
        <w:t xml:space="preserve">O Estado de Goiás conta com legislação específica para as </w:t>
      </w:r>
      <w:proofErr w:type="spellStart"/>
      <w:r w:rsidRPr="007E50AE">
        <w:rPr>
          <w:rFonts w:ascii="Times New Roman" w:hAnsi="Times New Roman" w:cs="Times New Roman"/>
          <w:sz w:val="24"/>
          <w:szCs w:val="24"/>
        </w:rPr>
        <w:t>RPPNs</w:t>
      </w:r>
      <w:proofErr w:type="spellEnd"/>
      <w:r w:rsidRPr="007E50AE">
        <w:rPr>
          <w:rFonts w:ascii="Times New Roman" w:hAnsi="Times New Roman" w:cs="Times New Roman"/>
          <w:sz w:val="24"/>
          <w:szCs w:val="24"/>
        </w:rPr>
        <w:t xml:space="preserve">. O Decreto 7.665/2012 instituiu o Programa Estadual de Apoio às Reservas Particulares, o qual disciplina os procedimentos para criação da reserva e traz obrigações para os proprietários, como elaborar e implementar o plano de manejo, colocar placas indicativas, dentre outros (GOIÁS, 2012). Em Goiás existem 97 </w:t>
      </w:r>
      <w:proofErr w:type="spellStart"/>
      <w:r w:rsidRPr="007E50AE">
        <w:rPr>
          <w:rFonts w:ascii="Times New Roman" w:hAnsi="Times New Roman" w:cs="Times New Roman"/>
          <w:sz w:val="24"/>
          <w:szCs w:val="24"/>
        </w:rPr>
        <w:t>RPPNs</w:t>
      </w:r>
      <w:proofErr w:type="spellEnd"/>
      <w:r w:rsidRPr="007E50AE">
        <w:rPr>
          <w:rFonts w:ascii="Times New Roman" w:hAnsi="Times New Roman" w:cs="Times New Roman"/>
          <w:sz w:val="24"/>
          <w:szCs w:val="24"/>
        </w:rPr>
        <w:t xml:space="preserve"> distribuídas em 45 cidades e se encontra em sexto lugar no ranking nacional em quantidade de reservas privadas. Do total, 20 dessas unidades de conservação foram criadas por lei estadual, sendo uma em 2015, duas em 2016, quinze em 2017 e duas em 2018. Todas as demais foram implantadas por órgãos ambientais federais (CNRPPN, 2021).</w:t>
      </w:r>
    </w:p>
    <w:p w:rsidR="007E50AE" w:rsidRPr="007E50AE" w:rsidRDefault="007E50AE" w:rsidP="007E50AE">
      <w:pPr>
        <w:spacing w:line="360" w:lineRule="auto"/>
        <w:jc w:val="both"/>
        <w:rPr>
          <w:rFonts w:ascii="Times New Roman" w:hAnsi="Times New Roman" w:cs="Times New Roman"/>
          <w:sz w:val="24"/>
          <w:szCs w:val="24"/>
        </w:rPr>
      </w:pPr>
    </w:p>
    <w:p w:rsidR="007E50AE" w:rsidRDefault="007E50AE" w:rsidP="007E50AE">
      <w:pPr>
        <w:jc w:val="center"/>
        <w:rPr>
          <w:rFonts w:ascii="Times New Roman" w:hAnsi="Times New Roman" w:cs="Times New Roman"/>
          <w:b/>
          <w:sz w:val="24"/>
          <w:szCs w:val="24"/>
        </w:rPr>
      </w:pPr>
    </w:p>
    <w:p w:rsidR="007032BB" w:rsidRDefault="007032BB" w:rsidP="007E50AE">
      <w:pPr>
        <w:jc w:val="center"/>
        <w:rPr>
          <w:rFonts w:ascii="Times New Roman" w:hAnsi="Times New Roman" w:cs="Times New Roman"/>
          <w:b/>
          <w:sz w:val="24"/>
          <w:szCs w:val="24"/>
        </w:rPr>
      </w:pPr>
    </w:p>
    <w:p w:rsidR="007032BB" w:rsidRDefault="007032BB" w:rsidP="007E50AE">
      <w:pPr>
        <w:jc w:val="center"/>
        <w:rPr>
          <w:rFonts w:ascii="Times New Roman" w:hAnsi="Times New Roman" w:cs="Times New Roman"/>
          <w:b/>
          <w:sz w:val="24"/>
          <w:szCs w:val="24"/>
        </w:rPr>
      </w:pPr>
    </w:p>
    <w:p w:rsidR="007032BB" w:rsidRDefault="007032BB" w:rsidP="007E50AE">
      <w:pPr>
        <w:jc w:val="center"/>
        <w:rPr>
          <w:rFonts w:ascii="Times New Roman" w:hAnsi="Times New Roman" w:cs="Times New Roman"/>
          <w:b/>
          <w:sz w:val="24"/>
          <w:szCs w:val="24"/>
        </w:rPr>
      </w:pPr>
    </w:p>
    <w:p w:rsidR="007032BB" w:rsidRDefault="007032BB" w:rsidP="007E50AE">
      <w:pPr>
        <w:jc w:val="center"/>
        <w:rPr>
          <w:rFonts w:ascii="Times New Roman" w:hAnsi="Times New Roman" w:cs="Times New Roman"/>
          <w:b/>
          <w:sz w:val="24"/>
          <w:szCs w:val="24"/>
        </w:rPr>
      </w:pPr>
    </w:p>
    <w:p w:rsidR="007032BB" w:rsidRDefault="007032BB" w:rsidP="007E50AE">
      <w:pPr>
        <w:jc w:val="center"/>
        <w:rPr>
          <w:rFonts w:ascii="Times New Roman" w:hAnsi="Times New Roman" w:cs="Times New Roman"/>
          <w:b/>
          <w:sz w:val="24"/>
          <w:szCs w:val="24"/>
        </w:rPr>
      </w:pPr>
    </w:p>
    <w:p w:rsidR="007E50AE" w:rsidRPr="007E50AE" w:rsidRDefault="007E50AE" w:rsidP="007E50AE">
      <w:pPr>
        <w:jc w:val="center"/>
        <w:rPr>
          <w:rFonts w:ascii="Times New Roman" w:hAnsi="Times New Roman" w:cs="Times New Roman"/>
          <w:sz w:val="24"/>
          <w:szCs w:val="24"/>
        </w:rPr>
      </w:pPr>
      <w:r w:rsidRPr="007E50AE">
        <w:rPr>
          <w:rFonts w:ascii="Times New Roman" w:hAnsi="Times New Roman" w:cs="Times New Roman"/>
          <w:b/>
          <w:sz w:val="24"/>
          <w:szCs w:val="24"/>
        </w:rPr>
        <w:lastRenderedPageBreak/>
        <w:t xml:space="preserve">Gráfico 2- </w:t>
      </w:r>
      <w:r w:rsidRPr="007E50AE">
        <w:rPr>
          <w:rFonts w:ascii="Times New Roman" w:hAnsi="Times New Roman" w:cs="Times New Roman"/>
          <w:sz w:val="24"/>
          <w:szCs w:val="24"/>
        </w:rPr>
        <w:t xml:space="preserve">Quantidade de </w:t>
      </w:r>
      <w:proofErr w:type="spellStart"/>
      <w:r w:rsidRPr="007E50AE">
        <w:rPr>
          <w:rFonts w:ascii="Times New Roman" w:hAnsi="Times New Roman" w:cs="Times New Roman"/>
          <w:sz w:val="24"/>
          <w:szCs w:val="24"/>
        </w:rPr>
        <w:t>RPPNs</w:t>
      </w:r>
      <w:proofErr w:type="spellEnd"/>
      <w:r w:rsidRPr="007E50AE">
        <w:rPr>
          <w:rFonts w:ascii="Times New Roman" w:hAnsi="Times New Roman" w:cs="Times New Roman"/>
          <w:sz w:val="24"/>
          <w:szCs w:val="24"/>
        </w:rPr>
        <w:t xml:space="preserve"> criadas anualmente em Goiás – 1990-2021</w:t>
      </w:r>
    </w:p>
    <w:p w:rsidR="007E50AE" w:rsidRPr="007E50AE" w:rsidRDefault="007E50AE" w:rsidP="007E50AE">
      <w:pPr>
        <w:spacing w:line="360" w:lineRule="auto"/>
        <w:jc w:val="both"/>
        <w:rPr>
          <w:rFonts w:ascii="Times New Roman" w:hAnsi="Times New Roman" w:cs="Times New Roman"/>
          <w:sz w:val="24"/>
          <w:szCs w:val="24"/>
        </w:rPr>
      </w:pPr>
      <w:r w:rsidRPr="007E50AE">
        <w:rPr>
          <w:rFonts w:ascii="Times New Roman" w:hAnsi="Times New Roman" w:cs="Times New Roman"/>
          <w:noProof/>
          <w:lang w:eastAsia="pt-BR" w:bidi="ar-SA"/>
        </w:rPr>
        <w:drawing>
          <wp:inline distT="0" distB="0" distL="0" distR="0" wp14:anchorId="43A88134" wp14:editId="3271809B">
            <wp:extent cx="5334000" cy="1724025"/>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E50AE" w:rsidRPr="007E50AE" w:rsidRDefault="007E50AE" w:rsidP="007E50AE">
      <w:pPr>
        <w:spacing w:line="360" w:lineRule="auto"/>
        <w:jc w:val="both"/>
        <w:rPr>
          <w:rFonts w:ascii="Times New Roman" w:hAnsi="Times New Roman" w:cs="Times New Roman"/>
          <w:sz w:val="24"/>
          <w:szCs w:val="24"/>
        </w:rPr>
      </w:pPr>
      <w:r w:rsidRPr="007E50AE">
        <w:rPr>
          <w:rFonts w:ascii="Times New Roman" w:hAnsi="Times New Roman" w:cs="Times New Roman"/>
          <w:b/>
          <w:sz w:val="20"/>
          <w:szCs w:val="20"/>
        </w:rPr>
        <w:t>Fonte:</w:t>
      </w:r>
      <w:r w:rsidRPr="007E50AE">
        <w:rPr>
          <w:rFonts w:ascii="Times New Roman" w:hAnsi="Times New Roman" w:cs="Times New Roman"/>
          <w:sz w:val="20"/>
          <w:szCs w:val="20"/>
        </w:rPr>
        <w:t xml:space="preserve"> Painel de Indicadores da Confederação Nacional de RPPN, CNRPPN, 2021. Elaborado pelas autoras.</w:t>
      </w:r>
    </w:p>
    <w:p w:rsidR="00FE1CCE" w:rsidRDefault="007E50AE" w:rsidP="007E50AE">
      <w:pPr>
        <w:spacing w:line="360" w:lineRule="auto"/>
        <w:jc w:val="both"/>
        <w:rPr>
          <w:rFonts w:ascii="Times New Roman" w:eastAsia="Times New Roman" w:hAnsi="Times New Roman" w:cs="Times New Roman"/>
          <w:b/>
          <w:sz w:val="24"/>
          <w:szCs w:val="24"/>
        </w:rPr>
      </w:pPr>
      <w:r w:rsidRPr="007E50AE">
        <w:rPr>
          <w:rFonts w:ascii="Times New Roman" w:eastAsia="Times New Roman" w:hAnsi="Times New Roman" w:cs="Times New Roman"/>
          <w:b/>
          <w:sz w:val="24"/>
          <w:szCs w:val="24"/>
        </w:rPr>
        <w:tab/>
      </w:r>
    </w:p>
    <w:p w:rsidR="007E50AE" w:rsidRPr="007E50AE" w:rsidRDefault="00FE1CCE" w:rsidP="007E50A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007E50AE" w:rsidRPr="007E50AE">
        <w:rPr>
          <w:rFonts w:ascii="Times New Roman" w:eastAsia="Times New Roman" w:hAnsi="Times New Roman" w:cs="Times New Roman"/>
          <w:sz w:val="24"/>
          <w:szCs w:val="24"/>
        </w:rPr>
        <w:t xml:space="preserve">O Gráfico 2 elucida que as </w:t>
      </w:r>
      <w:proofErr w:type="spellStart"/>
      <w:r w:rsidR="007E50AE" w:rsidRPr="007E50AE">
        <w:rPr>
          <w:rFonts w:ascii="Times New Roman" w:eastAsia="Times New Roman" w:hAnsi="Times New Roman" w:cs="Times New Roman"/>
          <w:sz w:val="24"/>
          <w:szCs w:val="24"/>
        </w:rPr>
        <w:t>RPPNs</w:t>
      </w:r>
      <w:proofErr w:type="spellEnd"/>
      <w:r w:rsidR="007E50AE" w:rsidRPr="007E50AE">
        <w:rPr>
          <w:rFonts w:ascii="Times New Roman" w:eastAsia="Times New Roman" w:hAnsi="Times New Roman" w:cs="Times New Roman"/>
          <w:sz w:val="24"/>
          <w:szCs w:val="24"/>
        </w:rPr>
        <w:t xml:space="preserve"> no Estado de Goiás foram instituídas de forma espaçada e relativamente constante ao longo destes 31 anos analisados. Em todo esse período somente em 05 anos (1993, 2003, 2004, 2008, 2010) não houve a criação de nenhuma reserva particular. O ano 2017 foi o que contou com maior quantidade de formação de áreas de conservação privada, que como vimos, constituídas em sua maioria pelo órgão ambiental estadual. É possível perceber também que nos últimos 10 anos a criação de </w:t>
      </w:r>
      <w:proofErr w:type="spellStart"/>
      <w:r w:rsidR="007E50AE" w:rsidRPr="007E50AE">
        <w:rPr>
          <w:rFonts w:ascii="Times New Roman" w:eastAsia="Times New Roman" w:hAnsi="Times New Roman" w:cs="Times New Roman"/>
          <w:sz w:val="24"/>
          <w:szCs w:val="24"/>
        </w:rPr>
        <w:t>RPPNs</w:t>
      </w:r>
      <w:proofErr w:type="spellEnd"/>
      <w:r w:rsidR="007E50AE" w:rsidRPr="007E50AE">
        <w:rPr>
          <w:rFonts w:ascii="Times New Roman" w:eastAsia="Times New Roman" w:hAnsi="Times New Roman" w:cs="Times New Roman"/>
          <w:sz w:val="24"/>
          <w:szCs w:val="24"/>
        </w:rPr>
        <w:t xml:space="preserve"> foram contínuas em Goiás.   </w:t>
      </w:r>
    </w:p>
    <w:p w:rsidR="007E50AE" w:rsidRPr="007E50AE" w:rsidRDefault="007E50AE" w:rsidP="007E50AE">
      <w:pPr>
        <w:spacing w:line="360" w:lineRule="auto"/>
        <w:jc w:val="both"/>
        <w:rPr>
          <w:rFonts w:ascii="Times New Roman" w:eastAsia="Times New Roman" w:hAnsi="Times New Roman" w:cs="Times New Roman"/>
          <w:b/>
          <w:sz w:val="24"/>
          <w:szCs w:val="24"/>
        </w:rPr>
      </w:pPr>
    </w:p>
    <w:p w:rsidR="007E50AE" w:rsidRPr="007E50AE" w:rsidRDefault="007E50AE" w:rsidP="007E50AE">
      <w:pPr>
        <w:spacing w:line="360" w:lineRule="auto"/>
        <w:jc w:val="both"/>
        <w:rPr>
          <w:rFonts w:ascii="Times New Roman" w:eastAsia="Times New Roman" w:hAnsi="Times New Roman" w:cs="Times New Roman"/>
          <w:b/>
          <w:color w:val="002060"/>
          <w:sz w:val="24"/>
          <w:szCs w:val="24"/>
        </w:rPr>
      </w:pPr>
      <w:r w:rsidRPr="007E50AE">
        <w:rPr>
          <w:rFonts w:ascii="Times New Roman" w:eastAsia="Times New Roman" w:hAnsi="Times New Roman" w:cs="Times New Roman"/>
          <w:b/>
          <w:color w:val="002060"/>
          <w:sz w:val="24"/>
          <w:szCs w:val="24"/>
        </w:rPr>
        <w:t>Pirenópolis e a Proteção do Meio Ambiente</w:t>
      </w:r>
    </w:p>
    <w:p w:rsidR="007E50AE" w:rsidRPr="007E50AE" w:rsidRDefault="007E50AE" w:rsidP="007E50AE">
      <w:pPr>
        <w:spacing w:line="360" w:lineRule="auto"/>
        <w:jc w:val="both"/>
        <w:rPr>
          <w:rFonts w:ascii="Times New Roman" w:eastAsia="Times New Roman" w:hAnsi="Times New Roman" w:cs="Times New Roman"/>
          <w:sz w:val="24"/>
          <w:szCs w:val="24"/>
        </w:rPr>
      </w:pPr>
      <w:r w:rsidRPr="007E50AE">
        <w:rPr>
          <w:rFonts w:ascii="Times New Roman" w:eastAsia="Times New Roman" w:hAnsi="Times New Roman" w:cs="Times New Roman"/>
          <w:sz w:val="24"/>
          <w:szCs w:val="24"/>
        </w:rPr>
        <w:tab/>
        <w:t>Pirenópolis localiza-se na mesorregião leste goiano e microrregião Entorno de Brasília a 124 quilômetros de Goiânia e a 145 quilômetros de Brasília. É uma cidade histórica, uma das primeiras do estado de Goiás. Foi fundada como pequeno arraial em 1727 e era denominada Meia Ponte, tornou-se município em 1853 e tem seu nome alterado para Pirenópolis em 1890. Em 1989 é tombada pelo Instituto do Patrimônio Histórico e Artístico Nacional (IPHAN) como conjunto arquitetônico, urbanístico, paisagístico e histórico. Em decorrência de sua grande relevância histórica, riqueza cultural e exuberância natural, o setor de turismo na cidade ganha destaque, com geração de emprego e renda para os citadinos (PIRENÓPOLIS, 2020).</w:t>
      </w:r>
    </w:p>
    <w:p w:rsidR="00BA0D21" w:rsidRDefault="007E50AE" w:rsidP="007E50AE">
      <w:pPr>
        <w:spacing w:line="360" w:lineRule="auto"/>
        <w:jc w:val="both"/>
        <w:rPr>
          <w:rFonts w:ascii="Times New Roman" w:eastAsia="Times New Roman" w:hAnsi="Times New Roman" w:cs="Times New Roman"/>
          <w:sz w:val="24"/>
          <w:szCs w:val="24"/>
        </w:rPr>
      </w:pPr>
      <w:r w:rsidRPr="007E50AE">
        <w:rPr>
          <w:rFonts w:ascii="Times New Roman" w:eastAsia="Times New Roman" w:hAnsi="Times New Roman" w:cs="Times New Roman"/>
          <w:sz w:val="24"/>
          <w:szCs w:val="24"/>
        </w:rPr>
        <w:tab/>
        <w:t xml:space="preserve">Sua renda per capita é de R$16.657,36 e suas receitas dependem 82% de fontes externas. De acordo com os dados das finanças públicas de 2017, dentre os impostos municipais arrecadados, o Imposto sobre Serviços corresponde à aproximadamente 55% </w:t>
      </w:r>
      <w:r w:rsidRPr="007E50AE">
        <w:rPr>
          <w:rFonts w:ascii="Times New Roman" w:eastAsia="Times New Roman" w:hAnsi="Times New Roman" w:cs="Times New Roman"/>
          <w:sz w:val="24"/>
          <w:szCs w:val="24"/>
        </w:rPr>
        <w:lastRenderedPageBreak/>
        <w:t>dos valores recolhidos, no valor de R$2.735.910,00. Já do Fundo de Participação dos Municípios, foi repassada a quantia de R$17.646.540,00, valor aproximadamente 351% maior que todos os impostos municipais apurados (IBGE, 2020).</w:t>
      </w:r>
    </w:p>
    <w:p w:rsidR="00FE1CCE" w:rsidRDefault="00FE1CCE" w:rsidP="00833D7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O</w:t>
      </w:r>
      <w:r w:rsidR="007E50AE" w:rsidRPr="007E50AE">
        <w:rPr>
          <w:rFonts w:ascii="Times New Roman" w:eastAsia="Times New Roman" w:hAnsi="Times New Roman" w:cs="Times New Roman"/>
          <w:sz w:val="24"/>
          <w:szCs w:val="24"/>
        </w:rPr>
        <w:t xml:space="preserve"> Plano Diretor do Município, traz “metas” para a cidade, dentre elas, a de ser reconhecida com uma cidade ecológica, e então prevê políticas públicas voltadas à preservação das áreas verdes públicas e privadas, dos mananciais aquíferos e da vegetação do cerrado (PIRENÓPOLIS, 2002). Além das 16 </w:t>
      </w:r>
      <w:proofErr w:type="spellStart"/>
      <w:r w:rsidR="007E50AE" w:rsidRPr="007E50AE">
        <w:rPr>
          <w:rFonts w:ascii="Times New Roman" w:eastAsia="Times New Roman" w:hAnsi="Times New Roman" w:cs="Times New Roman"/>
          <w:sz w:val="24"/>
          <w:szCs w:val="24"/>
        </w:rPr>
        <w:t>RPPNs</w:t>
      </w:r>
      <w:proofErr w:type="spellEnd"/>
      <w:r w:rsidR="007E50AE" w:rsidRPr="007E50AE">
        <w:rPr>
          <w:rFonts w:ascii="Times New Roman" w:eastAsia="Times New Roman" w:hAnsi="Times New Roman" w:cs="Times New Roman"/>
          <w:sz w:val="24"/>
          <w:szCs w:val="24"/>
        </w:rPr>
        <w:t xml:space="preserve"> já mencionadas, Pirenópolis também conta com a Área de Proteção Ambiental dos Pirineus (APA), que no seu território abrange uma área de 4.545,51ha e ainda a Parque Estadual dos Pirineus (PES), com extensão de 889,76ha nos limites do município (SOCIOAMBIENTAL, 2020). Juntas, as </w:t>
      </w:r>
      <w:proofErr w:type="spellStart"/>
      <w:r w:rsidR="007E50AE" w:rsidRPr="007E50AE">
        <w:rPr>
          <w:rFonts w:ascii="Times New Roman" w:eastAsia="Times New Roman" w:hAnsi="Times New Roman" w:cs="Times New Roman"/>
          <w:sz w:val="24"/>
          <w:szCs w:val="24"/>
        </w:rPr>
        <w:t>UCs</w:t>
      </w:r>
      <w:proofErr w:type="spellEnd"/>
      <w:r w:rsidR="007E50AE" w:rsidRPr="007E50AE">
        <w:rPr>
          <w:rFonts w:ascii="Times New Roman" w:eastAsia="Times New Roman" w:hAnsi="Times New Roman" w:cs="Times New Roman"/>
          <w:sz w:val="24"/>
          <w:szCs w:val="24"/>
        </w:rPr>
        <w:t xml:space="preserve"> preservam 6.832,35ha de cerrado dentro do território municipal, e as </w:t>
      </w:r>
      <w:proofErr w:type="spellStart"/>
      <w:r w:rsidR="007E50AE" w:rsidRPr="007E50AE">
        <w:rPr>
          <w:rFonts w:ascii="Times New Roman" w:eastAsia="Times New Roman" w:hAnsi="Times New Roman" w:cs="Times New Roman"/>
          <w:sz w:val="24"/>
          <w:szCs w:val="24"/>
        </w:rPr>
        <w:t>RPPNs</w:t>
      </w:r>
      <w:proofErr w:type="spellEnd"/>
      <w:r w:rsidR="007E50AE" w:rsidRPr="007E50AE">
        <w:rPr>
          <w:rFonts w:ascii="Times New Roman" w:eastAsia="Times New Roman" w:hAnsi="Times New Roman" w:cs="Times New Roman"/>
          <w:sz w:val="24"/>
          <w:szCs w:val="24"/>
        </w:rPr>
        <w:t xml:space="preserve"> representam 20,45% de toda</w:t>
      </w:r>
      <w:r w:rsidR="00833D7D">
        <w:rPr>
          <w:rFonts w:ascii="Times New Roman" w:eastAsia="Times New Roman" w:hAnsi="Times New Roman" w:cs="Times New Roman"/>
          <w:sz w:val="24"/>
          <w:szCs w:val="24"/>
        </w:rPr>
        <w:t xml:space="preserve"> a extensão de área conservada.</w:t>
      </w:r>
    </w:p>
    <w:p w:rsidR="007032BB" w:rsidRDefault="007032BB" w:rsidP="007E50AE">
      <w:pPr>
        <w:jc w:val="center"/>
        <w:rPr>
          <w:rFonts w:ascii="Times New Roman" w:hAnsi="Times New Roman" w:cs="Times New Roman"/>
          <w:b/>
          <w:sz w:val="24"/>
          <w:szCs w:val="24"/>
        </w:rPr>
      </w:pPr>
    </w:p>
    <w:p w:rsidR="007E50AE" w:rsidRPr="00BA0D21" w:rsidRDefault="007E50AE" w:rsidP="007E50AE">
      <w:pPr>
        <w:jc w:val="center"/>
        <w:rPr>
          <w:rFonts w:ascii="Times New Roman" w:eastAsia="Times New Roman" w:hAnsi="Times New Roman" w:cs="Times New Roman"/>
          <w:sz w:val="24"/>
          <w:szCs w:val="24"/>
        </w:rPr>
      </w:pPr>
      <w:r w:rsidRPr="00BA0D21">
        <w:rPr>
          <w:rFonts w:ascii="Times New Roman" w:hAnsi="Times New Roman" w:cs="Times New Roman"/>
          <w:b/>
          <w:sz w:val="24"/>
          <w:szCs w:val="24"/>
        </w:rPr>
        <w:t xml:space="preserve">Gráfico </w:t>
      </w:r>
      <w:r w:rsidR="001211C4">
        <w:rPr>
          <w:rFonts w:ascii="Times New Roman" w:hAnsi="Times New Roman" w:cs="Times New Roman"/>
          <w:b/>
          <w:sz w:val="24"/>
          <w:szCs w:val="24"/>
        </w:rPr>
        <w:t>3</w:t>
      </w:r>
      <w:r w:rsidRPr="00BA0D21">
        <w:rPr>
          <w:rFonts w:ascii="Times New Roman" w:hAnsi="Times New Roman" w:cs="Times New Roman"/>
          <w:b/>
          <w:sz w:val="24"/>
          <w:szCs w:val="24"/>
        </w:rPr>
        <w:t xml:space="preserve">- </w:t>
      </w:r>
      <w:r w:rsidRPr="00BA0D21">
        <w:rPr>
          <w:rFonts w:ascii="Times New Roman" w:hAnsi="Times New Roman" w:cs="Times New Roman"/>
          <w:sz w:val="24"/>
          <w:szCs w:val="24"/>
        </w:rPr>
        <w:t xml:space="preserve">Quantidade de </w:t>
      </w:r>
      <w:proofErr w:type="spellStart"/>
      <w:r w:rsidRPr="00BA0D21">
        <w:rPr>
          <w:rFonts w:ascii="Times New Roman" w:hAnsi="Times New Roman" w:cs="Times New Roman"/>
          <w:sz w:val="24"/>
          <w:szCs w:val="24"/>
        </w:rPr>
        <w:t>RPPNs</w:t>
      </w:r>
      <w:proofErr w:type="spellEnd"/>
      <w:r w:rsidRPr="00BA0D21">
        <w:rPr>
          <w:rFonts w:ascii="Times New Roman" w:hAnsi="Times New Roman" w:cs="Times New Roman"/>
          <w:sz w:val="24"/>
          <w:szCs w:val="24"/>
        </w:rPr>
        <w:t xml:space="preserve"> criadas anualmente em Pirenópolis – 1990-2021</w:t>
      </w:r>
    </w:p>
    <w:p w:rsidR="007E50AE" w:rsidRPr="007E50AE" w:rsidRDefault="007E50AE" w:rsidP="007E50AE">
      <w:pPr>
        <w:spacing w:line="360" w:lineRule="auto"/>
        <w:jc w:val="both"/>
        <w:rPr>
          <w:rFonts w:ascii="Times New Roman" w:eastAsia="Times New Roman" w:hAnsi="Times New Roman" w:cs="Times New Roman"/>
          <w:sz w:val="24"/>
          <w:szCs w:val="24"/>
        </w:rPr>
      </w:pPr>
      <w:r w:rsidRPr="007E50AE">
        <w:rPr>
          <w:rFonts w:ascii="Times New Roman" w:hAnsi="Times New Roman" w:cs="Times New Roman"/>
          <w:noProof/>
          <w:lang w:eastAsia="pt-BR" w:bidi="ar-SA"/>
        </w:rPr>
        <w:drawing>
          <wp:inline distT="0" distB="0" distL="0" distR="0" wp14:anchorId="55D27787" wp14:editId="06406132">
            <wp:extent cx="5467350" cy="188595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E50AE" w:rsidRPr="007E50AE" w:rsidRDefault="007E50AE" w:rsidP="007E50AE">
      <w:pPr>
        <w:spacing w:line="360" w:lineRule="auto"/>
        <w:jc w:val="both"/>
        <w:rPr>
          <w:rFonts w:ascii="Times New Roman" w:hAnsi="Times New Roman" w:cs="Times New Roman"/>
          <w:sz w:val="24"/>
          <w:szCs w:val="24"/>
        </w:rPr>
      </w:pPr>
      <w:r w:rsidRPr="007E50AE">
        <w:rPr>
          <w:rFonts w:ascii="Times New Roman" w:hAnsi="Times New Roman" w:cs="Times New Roman"/>
          <w:b/>
          <w:sz w:val="20"/>
          <w:szCs w:val="20"/>
        </w:rPr>
        <w:t>Fonte:</w:t>
      </w:r>
      <w:r w:rsidRPr="007E50AE">
        <w:rPr>
          <w:rFonts w:ascii="Times New Roman" w:hAnsi="Times New Roman" w:cs="Times New Roman"/>
          <w:sz w:val="20"/>
          <w:szCs w:val="20"/>
        </w:rPr>
        <w:t xml:space="preserve"> CNRPPN, 2021. Elaborado pelas autoras.</w:t>
      </w:r>
    </w:p>
    <w:p w:rsidR="007E50AE" w:rsidRPr="007E50AE" w:rsidRDefault="007E50AE" w:rsidP="007E50AE">
      <w:pPr>
        <w:spacing w:line="360" w:lineRule="auto"/>
        <w:jc w:val="both"/>
        <w:rPr>
          <w:rFonts w:ascii="Times New Roman" w:eastAsia="Times New Roman" w:hAnsi="Times New Roman" w:cs="Times New Roman"/>
          <w:sz w:val="24"/>
          <w:szCs w:val="24"/>
        </w:rPr>
      </w:pPr>
    </w:p>
    <w:p w:rsidR="007E50AE" w:rsidRPr="007E50AE" w:rsidRDefault="007E50AE" w:rsidP="007E50AE">
      <w:pPr>
        <w:spacing w:line="360" w:lineRule="auto"/>
        <w:jc w:val="both"/>
        <w:rPr>
          <w:rFonts w:ascii="Times New Roman" w:eastAsia="Times New Roman" w:hAnsi="Times New Roman" w:cs="Times New Roman"/>
          <w:sz w:val="24"/>
          <w:szCs w:val="24"/>
        </w:rPr>
      </w:pPr>
      <w:r w:rsidRPr="007E50AE">
        <w:rPr>
          <w:rFonts w:ascii="Times New Roman" w:eastAsia="Times New Roman" w:hAnsi="Times New Roman" w:cs="Times New Roman"/>
          <w:sz w:val="24"/>
          <w:szCs w:val="24"/>
        </w:rPr>
        <w:tab/>
        <w:t>O gráfico 0</w:t>
      </w:r>
      <w:r w:rsidR="001211C4">
        <w:rPr>
          <w:rFonts w:ascii="Times New Roman" w:eastAsia="Times New Roman" w:hAnsi="Times New Roman" w:cs="Times New Roman"/>
          <w:sz w:val="24"/>
          <w:szCs w:val="24"/>
        </w:rPr>
        <w:t>3</w:t>
      </w:r>
      <w:r w:rsidRPr="007E50AE">
        <w:rPr>
          <w:rFonts w:ascii="Times New Roman" w:eastAsia="Times New Roman" w:hAnsi="Times New Roman" w:cs="Times New Roman"/>
          <w:sz w:val="24"/>
          <w:szCs w:val="24"/>
        </w:rPr>
        <w:t xml:space="preserve"> exibe a criação intercorrente de </w:t>
      </w:r>
      <w:proofErr w:type="spellStart"/>
      <w:r w:rsidRPr="007E50AE">
        <w:rPr>
          <w:rFonts w:ascii="Times New Roman" w:eastAsia="Times New Roman" w:hAnsi="Times New Roman" w:cs="Times New Roman"/>
          <w:sz w:val="24"/>
          <w:szCs w:val="24"/>
        </w:rPr>
        <w:t>RPPNs</w:t>
      </w:r>
      <w:proofErr w:type="spellEnd"/>
      <w:r w:rsidRPr="007E50AE">
        <w:rPr>
          <w:rFonts w:ascii="Times New Roman" w:eastAsia="Times New Roman" w:hAnsi="Times New Roman" w:cs="Times New Roman"/>
          <w:sz w:val="24"/>
          <w:szCs w:val="24"/>
        </w:rPr>
        <w:t xml:space="preserve"> no Município. Em 1990 há a constituição de uma das reservas particulares pioneiras no Brasil, mas no prazo de 19   anos temos a instituição de apenas sete reservas. Nos últimos 03 anos, foram fundadas 56% das áreas privadas de conservação do município, com relevância especial no ano de 2019. </w:t>
      </w:r>
    </w:p>
    <w:p w:rsidR="007E50AE" w:rsidRPr="007E50AE" w:rsidRDefault="007E50AE" w:rsidP="007E50AE">
      <w:pPr>
        <w:spacing w:line="360" w:lineRule="auto"/>
        <w:jc w:val="both"/>
        <w:rPr>
          <w:rFonts w:ascii="Times New Roman" w:eastAsia="Times New Roman" w:hAnsi="Times New Roman" w:cs="Times New Roman"/>
          <w:sz w:val="24"/>
          <w:szCs w:val="24"/>
        </w:rPr>
      </w:pPr>
    </w:p>
    <w:p w:rsidR="007E50AE" w:rsidRPr="00FE1CCE" w:rsidRDefault="007E50AE" w:rsidP="007E50AE">
      <w:pPr>
        <w:spacing w:line="360" w:lineRule="auto"/>
        <w:jc w:val="both"/>
        <w:rPr>
          <w:rFonts w:ascii="Times New Roman" w:eastAsia="Times New Roman" w:hAnsi="Times New Roman" w:cs="Times New Roman"/>
          <w:color w:val="002060"/>
          <w:sz w:val="24"/>
          <w:szCs w:val="24"/>
        </w:rPr>
      </w:pPr>
      <w:r w:rsidRPr="00FE1CCE">
        <w:rPr>
          <w:rFonts w:ascii="Times New Roman" w:eastAsia="Times New Roman" w:hAnsi="Times New Roman" w:cs="Times New Roman"/>
          <w:b/>
          <w:color w:val="002060"/>
          <w:sz w:val="24"/>
          <w:szCs w:val="24"/>
        </w:rPr>
        <w:t xml:space="preserve">ICMS Ecológico em Pirenópolis </w:t>
      </w:r>
    </w:p>
    <w:p w:rsidR="007E50AE" w:rsidRPr="007E50AE" w:rsidRDefault="007E50AE" w:rsidP="007E50AE">
      <w:pPr>
        <w:spacing w:line="360" w:lineRule="auto"/>
        <w:jc w:val="both"/>
        <w:rPr>
          <w:rFonts w:ascii="Times New Roman" w:hAnsi="Times New Roman" w:cs="Times New Roman"/>
          <w:sz w:val="24"/>
          <w:szCs w:val="24"/>
        </w:rPr>
      </w:pPr>
      <w:r w:rsidRPr="007E50AE">
        <w:rPr>
          <w:rFonts w:ascii="Times New Roman" w:eastAsia="Times New Roman" w:hAnsi="Times New Roman" w:cs="Times New Roman"/>
          <w:sz w:val="24"/>
          <w:szCs w:val="24"/>
        </w:rPr>
        <w:tab/>
        <w:t xml:space="preserve">Os incisos do artigo 107, §1º da Constituição do Estado de Goiás disciplinam como serão divididos entre os municípios goianos os repasses obrigatórios dos valores </w:t>
      </w:r>
      <w:r w:rsidRPr="007E50AE">
        <w:rPr>
          <w:rFonts w:ascii="Times New Roman" w:eastAsia="Times New Roman" w:hAnsi="Times New Roman" w:cs="Times New Roman"/>
          <w:sz w:val="24"/>
          <w:szCs w:val="24"/>
        </w:rPr>
        <w:lastRenderedPageBreak/>
        <w:t xml:space="preserve">arrecadados de ICMS e também os transferidos pelo pela União a título de Fundo de Participação Municipal (FPM). A Emenda Constitucional nº 40 de 2007 incluiu o inciso III neste parágrafo, e assim instituiu o habitualmente designado “ICMS-Ecológico” ou “ICMS-Verde”, definindo que 5% destes recursos a serem repassados serão </w:t>
      </w:r>
      <w:r w:rsidRPr="007E50AE">
        <w:rPr>
          <w:rFonts w:ascii="Times New Roman" w:hAnsi="Times New Roman" w:cs="Times New Roman"/>
          <w:sz w:val="24"/>
          <w:szCs w:val="24"/>
        </w:rPr>
        <w:t xml:space="preserve">distribuídos conforme os municípios cumpram ações “relacionadas com a fiscalização, defesa, recuperação e preservação do meio ambiente” (GOIÁS, 1989, p. 94). </w:t>
      </w:r>
    </w:p>
    <w:p w:rsidR="007E50AE" w:rsidRPr="007E50AE" w:rsidRDefault="007E50AE" w:rsidP="007E50AE">
      <w:pPr>
        <w:spacing w:line="360" w:lineRule="auto"/>
        <w:jc w:val="both"/>
        <w:rPr>
          <w:rFonts w:ascii="Times New Roman" w:hAnsi="Times New Roman" w:cs="Times New Roman"/>
          <w:sz w:val="24"/>
          <w:szCs w:val="24"/>
        </w:rPr>
      </w:pPr>
      <w:r w:rsidRPr="007E50AE">
        <w:rPr>
          <w:rFonts w:ascii="Times New Roman" w:hAnsi="Times New Roman" w:cs="Times New Roman"/>
          <w:sz w:val="24"/>
          <w:szCs w:val="24"/>
        </w:rPr>
        <w:tab/>
        <w:t xml:space="preserve">A Lei Complementar estadual 90/2011 determina que os municípios que preencham os requisitos para receber os repasses referentes ao ICMS-Verde, receberão mais recursos à medida que implementarem mais ações ambientais em seus territórios. São nove as ações trazidas pelo art. 4º, parágrafo único. Caso os municípios cumpram seis ou mais requisitos, recebem 3%, se efetivarem pelo menos quatro conquistam 1,25% e se observarem pelo menos três, atingem o percentual de 0,75% (GOIÁS, 2011). </w:t>
      </w:r>
    </w:p>
    <w:p w:rsidR="007E50AE" w:rsidRPr="007E50AE" w:rsidRDefault="007E50AE" w:rsidP="007E50AE">
      <w:pPr>
        <w:spacing w:line="360" w:lineRule="auto"/>
        <w:jc w:val="both"/>
        <w:rPr>
          <w:rFonts w:ascii="Times New Roman" w:hAnsi="Times New Roman" w:cs="Times New Roman"/>
          <w:sz w:val="24"/>
          <w:szCs w:val="24"/>
        </w:rPr>
      </w:pPr>
      <w:r w:rsidRPr="007E50AE">
        <w:rPr>
          <w:rFonts w:ascii="Times New Roman" w:hAnsi="Times New Roman" w:cs="Times New Roman"/>
          <w:sz w:val="24"/>
          <w:szCs w:val="24"/>
        </w:rPr>
        <w:tab/>
        <w:t xml:space="preserve">É importante ressaltar que esta Lei Complementar, em seu artigo 1º, expressamente dispõe que somente municípios que contem em seus territórios com unidades de conservação ambiental ou mananciais para abastecimento público são elegíveis para receber esse recurso adicional. A legislação também esclarece que as </w:t>
      </w:r>
      <w:proofErr w:type="spellStart"/>
      <w:r w:rsidRPr="007E50AE">
        <w:rPr>
          <w:rFonts w:ascii="Times New Roman" w:hAnsi="Times New Roman" w:cs="Times New Roman"/>
          <w:sz w:val="24"/>
          <w:szCs w:val="24"/>
        </w:rPr>
        <w:t>UCs</w:t>
      </w:r>
      <w:proofErr w:type="spellEnd"/>
      <w:r w:rsidRPr="007E50AE">
        <w:rPr>
          <w:rFonts w:ascii="Times New Roman" w:hAnsi="Times New Roman" w:cs="Times New Roman"/>
          <w:sz w:val="24"/>
          <w:szCs w:val="24"/>
        </w:rPr>
        <w:t xml:space="preserve"> existentes no município podem ser de propriedade pública ou privada (GOIÁS, 2011). </w:t>
      </w:r>
    </w:p>
    <w:p w:rsidR="007E50AE" w:rsidRPr="007E50AE" w:rsidRDefault="007E50AE" w:rsidP="007E50AE">
      <w:pPr>
        <w:spacing w:line="360" w:lineRule="auto"/>
        <w:jc w:val="both"/>
        <w:rPr>
          <w:rFonts w:ascii="Times New Roman" w:hAnsi="Times New Roman" w:cs="Times New Roman"/>
          <w:sz w:val="24"/>
          <w:szCs w:val="24"/>
        </w:rPr>
      </w:pPr>
      <w:r w:rsidRPr="007E50AE">
        <w:rPr>
          <w:rFonts w:ascii="Times New Roman" w:hAnsi="Times New Roman" w:cs="Times New Roman"/>
          <w:sz w:val="24"/>
          <w:szCs w:val="24"/>
        </w:rPr>
        <w:tab/>
        <w:t xml:space="preserve">O relatório produzido pela Secretaria do Meio Ambiente e Desenvolvimento Sustentável de Goiás (SEMAD), que apresenta os municípios participantes do questionário referente ao ICMS Ecológico, revela que em 2020, dos 246 municípios goianos, 92 não se inseriram nessa política pública conservacionista (GOIÁS, 2020). Caso a barreira tenha sido as condições mínimas dispostas no art. 1º da LC90/2011, é importante destacar que a criação de </w:t>
      </w:r>
      <w:proofErr w:type="spellStart"/>
      <w:r w:rsidRPr="007E50AE">
        <w:rPr>
          <w:rFonts w:ascii="Times New Roman" w:hAnsi="Times New Roman" w:cs="Times New Roman"/>
          <w:sz w:val="24"/>
          <w:szCs w:val="24"/>
        </w:rPr>
        <w:t>RPPNs</w:t>
      </w:r>
      <w:proofErr w:type="spellEnd"/>
      <w:r w:rsidRPr="007E50AE">
        <w:rPr>
          <w:rFonts w:ascii="Times New Roman" w:hAnsi="Times New Roman" w:cs="Times New Roman"/>
          <w:sz w:val="24"/>
          <w:szCs w:val="24"/>
        </w:rPr>
        <w:t xml:space="preserve"> em seus territórios pode permitir o acesso a esses recursos públicos. </w:t>
      </w:r>
    </w:p>
    <w:p w:rsidR="007E50AE" w:rsidRDefault="007E50AE" w:rsidP="007E50AE">
      <w:pPr>
        <w:spacing w:line="360" w:lineRule="auto"/>
        <w:jc w:val="both"/>
        <w:rPr>
          <w:rFonts w:ascii="Times New Roman" w:hAnsi="Times New Roman" w:cs="Times New Roman"/>
          <w:sz w:val="24"/>
          <w:szCs w:val="24"/>
        </w:rPr>
      </w:pPr>
      <w:r w:rsidRPr="007E50AE">
        <w:rPr>
          <w:rFonts w:ascii="Times New Roman" w:hAnsi="Times New Roman" w:cs="Times New Roman"/>
          <w:sz w:val="24"/>
          <w:szCs w:val="24"/>
        </w:rPr>
        <w:tab/>
        <w:t xml:space="preserve">Levantamento no site da Secretaria de Estado da Economia do Estado de Goiás apontou que 2014 foi o primeiro ano em que o ICMS-Ecológico foi utilizado para o cálculo do Índice de Participação dos Municípios (IPM). Segundo documento da secretaria, o período apuração do índice ecológico foi em 2014, mas sua aplicabilidade ocorreu no orçamento de 2015, e essa sistemática ocorre em todos os anos seguintes. </w:t>
      </w:r>
    </w:p>
    <w:p w:rsidR="00FE1CCE" w:rsidRDefault="00FE1CCE" w:rsidP="007E50AE">
      <w:pPr>
        <w:spacing w:line="360" w:lineRule="auto"/>
        <w:jc w:val="center"/>
        <w:rPr>
          <w:rFonts w:ascii="Times New Roman" w:hAnsi="Times New Roman" w:cs="Times New Roman"/>
          <w:b/>
          <w:sz w:val="24"/>
          <w:szCs w:val="24"/>
        </w:rPr>
      </w:pPr>
    </w:p>
    <w:p w:rsidR="001211C4" w:rsidRDefault="001211C4" w:rsidP="007E50AE">
      <w:pPr>
        <w:spacing w:line="360" w:lineRule="auto"/>
        <w:jc w:val="center"/>
        <w:rPr>
          <w:rFonts w:ascii="Times New Roman" w:hAnsi="Times New Roman" w:cs="Times New Roman"/>
          <w:b/>
          <w:sz w:val="24"/>
          <w:szCs w:val="24"/>
        </w:rPr>
      </w:pPr>
    </w:p>
    <w:p w:rsidR="007E50AE" w:rsidRPr="00BA0D21" w:rsidRDefault="007E50AE" w:rsidP="007E50AE">
      <w:pPr>
        <w:spacing w:line="360" w:lineRule="auto"/>
        <w:jc w:val="center"/>
        <w:rPr>
          <w:rFonts w:ascii="Times New Roman" w:hAnsi="Times New Roman" w:cs="Times New Roman"/>
          <w:sz w:val="24"/>
          <w:szCs w:val="24"/>
        </w:rPr>
      </w:pPr>
      <w:r w:rsidRPr="00BA0D21">
        <w:rPr>
          <w:rFonts w:ascii="Times New Roman" w:hAnsi="Times New Roman" w:cs="Times New Roman"/>
          <w:b/>
          <w:sz w:val="24"/>
          <w:szCs w:val="24"/>
        </w:rPr>
        <w:lastRenderedPageBreak/>
        <w:t>Tabela 01</w:t>
      </w:r>
      <w:r w:rsidRPr="00BA0D21">
        <w:rPr>
          <w:rFonts w:ascii="Times New Roman" w:hAnsi="Times New Roman" w:cs="Times New Roman"/>
          <w:sz w:val="24"/>
          <w:szCs w:val="24"/>
        </w:rPr>
        <w:t>: ICMS- Ecológico no Município de Pirenópolis – 2015 a 2021</w:t>
      </w: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
        <w:gridCol w:w="2187"/>
        <w:gridCol w:w="2171"/>
        <w:gridCol w:w="1789"/>
        <w:gridCol w:w="1789"/>
      </w:tblGrid>
      <w:tr w:rsidR="007E50AE" w:rsidRPr="007E50AE" w:rsidTr="00BA0D21">
        <w:tc>
          <w:tcPr>
            <w:tcW w:w="431" w:type="pct"/>
            <w:tcBorders>
              <w:top w:val="single" w:sz="12" w:space="0" w:color="auto"/>
              <w:bottom w:val="single" w:sz="8" w:space="0" w:color="auto"/>
            </w:tcBorders>
          </w:tcPr>
          <w:p w:rsidR="007E50AE" w:rsidRPr="007E50AE" w:rsidRDefault="007E50AE" w:rsidP="00B24F4A">
            <w:pPr>
              <w:spacing w:line="276" w:lineRule="auto"/>
              <w:jc w:val="center"/>
              <w:rPr>
                <w:rFonts w:ascii="Times New Roman" w:eastAsia="Times New Roman" w:hAnsi="Times New Roman" w:cs="Times New Roman"/>
                <w:b/>
                <w:sz w:val="21"/>
                <w:szCs w:val="21"/>
              </w:rPr>
            </w:pPr>
            <w:r w:rsidRPr="007E50AE">
              <w:rPr>
                <w:rFonts w:ascii="Times New Roman" w:eastAsia="Times New Roman" w:hAnsi="Times New Roman" w:cs="Times New Roman"/>
                <w:b/>
                <w:sz w:val="21"/>
                <w:szCs w:val="21"/>
              </w:rPr>
              <w:t>Ano</w:t>
            </w:r>
          </w:p>
        </w:tc>
        <w:tc>
          <w:tcPr>
            <w:tcW w:w="1259" w:type="pct"/>
            <w:tcBorders>
              <w:top w:val="single" w:sz="12" w:space="0" w:color="auto"/>
              <w:bottom w:val="single" w:sz="8" w:space="0" w:color="auto"/>
            </w:tcBorders>
          </w:tcPr>
          <w:p w:rsidR="007E50AE" w:rsidRPr="007E50AE" w:rsidRDefault="007E50AE" w:rsidP="00B24F4A">
            <w:pPr>
              <w:spacing w:line="276" w:lineRule="auto"/>
              <w:jc w:val="center"/>
              <w:rPr>
                <w:rFonts w:ascii="Times New Roman" w:eastAsia="Times New Roman" w:hAnsi="Times New Roman" w:cs="Times New Roman"/>
                <w:b/>
                <w:sz w:val="21"/>
                <w:szCs w:val="21"/>
              </w:rPr>
            </w:pPr>
            <w:r w:rsidRPr="007E50AE">
              <w:rPr>
                <w:rFonts w:ascii="Times New Roman" w:eastAsia="Times New Roman" w:hAnsi="Times New Roman" w:cs="Times New Roman"/>
                <w:b/>
                <w:sz w:val="21"/>
                <w:szCs w:val="21"/>
              </w:rPr>
              <w:t xml:space="preserve">Porcentagem alcançada de acordo com a LC90/2011 </w:t>
            </w:r>
          </w:p>
        </w:tc>
        <w:tc>
          <w:tcPr>
            <w:tcW w:w="1250" w:type="pct"/>
            <w:tcBorders>
              <w:top w:val="single" w:sz="12" w:space="0" w:color="auto"/>
              <w:bottom w:val="single" w:sz="8" w:space="0" w:color="auto"/>
            </w:tcBorders>
          </w:tcPr>
          <w:p w:rsidR="007E50AE" w:rsidRPr="007E50AE" w:rsidRDefault="007E50AE" w:rsidP="00B24F4A">
            <w:pPr>
              <w:spacing w:line="276" w:lineRule="auto"/>
              <w:jc w:val="center"/>
              <w:rPr>
                <w:rFonts w:ascii="Times New Roman" w:eastAsia="Times New Roman" w:hAnsi="Times New Roman" w:cs="Times New Roman"/>
                <w:b/>
                <w:sz w:val="21"/>
                <w:szCs w:val="21"/>
              </w:rPr>
            </w:pPr>
            <w:r w:rsidRPr="007E50AE">
              <w:rPr>
                <w:rFonts w:ascii="Times New Roman" w:eastAsia="Times New Roman" w:hAnsi="Times New Roman" w:cs="Times New Roman"/>
                <w:b/>
                <w:sz w:val="21"/>
                <w:szCs w:val="21"/>
              </w:rPr>
              <w:t>Relação entre Valor ICMS-Ecológico/Valor IPM Total</w:t>
            </w:r>
          </w:p>
        </w:tc>
        <w:tc>
          <w:tcPr>
            <w:tcW w:w="1030" w:type="pct"/>
            <w:tcBorders>
              <w:top w:val="single" w:sz="12" w:space="0" w:color="auto"/>
              <w:bottom w:val="single" w:sz="8" w:space="0" w:color="auto"/>
            </w:tcBorders>
          </w:tcPr>
          <w:p w:rsidR="007E50AE" w:rsidRPr="007E50AE" w:rsidRDefault="007E50AE" w:rsidP="00B24F4A">
            <w:pPr>
              <w:spacing w:line="276" w:lineRule="auto"/>
              <w:jc w:val="center"/>
              <w:rPr>
                <w:rFonts w:ascii="Times New Roman" w:eastAsia="Times New Roman" w:hAnsi="Times New Roman" w:cs="Times New Roman"/>
                <w:b/>
                <w:sz w:val="21"/>
                <w:szCs w:val="21"/>
              </w:rPr>
            </w:pPr>
            <w:r w:rsidRPr="007E50AE">
              <w:rPr>
                <w:rFonts w:ascii="Times New Roman" w:eastAsia="Times New Roman" w:hAnsi="Times New Roman" w:cs="Times New Roman"/>
                <w:b/>
                <w:sz w:val="21"/>
                <w:szCs w:val="21"/>
              </w:rPr>
              <w:t>Valor Total IPM Repassado</w:t>
            </w:r>
          </w:p>
        </w:tc>
        <w:tc>
          <w:tcPr>
            <w:tcW w:w="1030" w:type="pct"/>
            <w:tcBorders>
              <w:top w:val="single" w:sz="12" w:space="0" w:color="auto"/>
              <w:bottom w:val="single" w:sz="8" w:space="0" w:color="auto"/>
            </w:tcBorders>
          </w:tcPr>
          <w:p w:rsidR="007E50AE" w:rsidRPr="007E50AE" w:rsidRDefault="007E50AE" w:rsidP="00B24F4A">
            <w:pPr>
              <w:spacing w:line="276" w:lineRule="auto"/>
              <w:jc w:val="center"/>
              <w:rPr>
                <w:rFonts w:ascii="Times New Roman" w:eastAsia="Times New Roman" w:hAnsi="Times New Roman" w:cs="Times New Roman"/>
                <w:b/>
                <w:sz w:val="21"/>
                <w:szCs w:val="21"/>
              </w:rPr>
            </w:pPr>
            <w:r w:rsidRPr="007E50AE">
              <w:rPr>
                <w:rFonts w:ascii="Times New Roman" w:eastAsia="Times New Roman" w:hAnsi="Times New Roman" w:cs="Times New Roman"/>
                <w:b/>
                <w:sz w:val="21"/>
                <w:szCs w:val="21"/>
              </w:rPr>
              <w:t>Valor Referente ao ICMS-Ecológico</w:t>
            </w:r>
          </w:p>
        </w:tc>
      </w:tr>
      <w:tr w:rsidR="007E50AE" w:rsidRPr="007E50AE" w:rsidTr="00BA0D21">
        <w:tc>
          <w:tcPr>
            <w:tcW w:w="431" w:type="pct"/>
            <w:tcBorders>
              <w:top w:val="single" w:sz="8" w:space="0" w:color="auto"/>
            </w:tcBorders>
          </w:tcPr>
          <w:p w:rsidR="007E50AE" w:rsidRPr="007E50AE" w:rsidRDefault="007E50AE" w:rsidP="00B24F4A">
            <w:pPr>
              <w:spacing w:line="276" w:lineRule="auto"/>
              <w:jc w:val="center"/>
              <w:rPr>
                <w:rFonts w:ascii="Times New Roman" w:eastAsia="Times New Roman" w:hAnsi="Times New Roman" w:cs="Times New Roman"/>
                <w:sz w:val="20"/>
                <w:szCs w:val="20"/>
              </w:rPr>
            </w:pPr>
            <w:r w:rsidRPr="007E50AE">
              <w:rPr>
                <w:rFonts w:ascii="Times New Roman" w:eastAsia="Times New Roman" w:hAnsi="Times New Roman" w:cs="Times New Roman"/>
                <w:sz w:val="20"/>
                <w:szCs w:val="20"/>
              </w:rPr>
              <w:t>2015</w:t>
            </w:r>
          </w:p>
        </w:tc>
        <w:tc>
          <w:tcPr>
            <w:tcW w:w="1259" w:type="pct"/>
            <w:tcBorders>
              <w:top w:val="single" w:sz="8" w:space="0" w:color="auto"/>
            </w:tcBorders>
          </w:tcPr>
          <w:p w:rsidR="007E50AE" w:rsidRPr="007E50AE" w:rsidRDefault="007E50AE" w:rsidP="00B24F4A">
            <w:pPr>
              <w:spacing w:line="276" w:lineRule="auto"/>
              <w:jc w:val="center"/>
              <w:rPr>
                <w:rFonts w:ascii="Times New Roman" w:eastAsia="Times New Roman" w:hAnsi="Times New Roman" w:cs="Times New Roman"/>
                <w:sz w:val="20"/>
                <w:szCs w:val="20"/>
              </w:rPr>
            </w:pPr>
            <w:r w:rsidRPr="007E50AE">
              <w:rPr>
                <w:rFonts w:ascii="Times New Roman" w:eastAsia="Times New Roman" w:hAnsi="Times New Roman" w:cs="Times New Roman"/>
                <w:sz w:val="20"/>
                <w:szCs w:val="20"/>
              </w:rPr>
              <w:t>3%</w:t>
            </w:r>
          </w:p>
        </w:tc>
        <w:tc>
          <w:tcPr>
            <w:tcW w:w="1250" w:type="pct"/>
            <w:tcBorders>
              <w:top w:val="single" w:sz="8" w:space="0" w:color="auto"/>
            </w:tcBorders>
          </w:tcPr>
          <w:p w:rsidR="007E50AE" w:rsidRPr="007E50AE" w:rsidRDefault="007E50AE" w:rsidP="00B24F4A">
            <w:pPr>
              <w:spacing w:line="276" w:lineRule="auto"/>
              <w:jc w:val="center"/>
              <w:rPr>
                <w:rFonts w:ascii="Times New Roman" w:eastAsia="Times New Roman" w:hAnsi="Times New Roman" w:cs="Times New Roman"/>
                <w:sz w:val="20"/>
                <w:szCs w:val="20"/>
              </w:rPr>
            </w:pPr>
            <w:r w:rsidRPr="007E50AE">
              <w:rPr>
                <w:rFonts w:ascii="Times New Roman" w:eastAsia="Times New Roman" w:hAnsi="Times New Roman" w:cs="Times New Roman"/>
                <w:sz w:val="20"/>
                <w:szCs w:val="20"/>
              </w:rPr>
              <w:t>28,29%</w:t>
            </w:r>
          </w:p>
        </w:tc>
        <w:tc>
          <w:tcPr>
            <w:tcW w:w="1030" w:type="pct"/>
            <w:tcBorders>
              <w:top w:val="single" w:sz="8" w:space="0" w:color="auto"/>
            </w:tcBorders>
          </w:tcPr>
          <w:p w:rsidR="007E50AE" w:rsidRPr="007E50AE" w:rsidRDefault="007E50AE" w:rsidP="00B24F4A">
            <w:pPr>
              <w:spacing w:line="276" w:lineRule="auto"/>
              <w:jc w:val="center"/>
              <w:rPr>
                <w:rFonts w:ascii="Times New Roman" w:eastAsia="Times New Roman" w:hAnsi="Times New Roman" w:cs="Times New Roman"/>
                <w:sz w:val="20"/>
                <w:szCs w:val="20"/>
              </w:rPr>
            </w:pPr>
            <w:r w:rsidRPr="007E50AE">
              <w:rPr>
                <w:rFonts w:ascii="Times New Roman" w:hAnsi="Times New Roman" w:cs="Times New Roman"/>
                <w:color w:val="000000"/>
                <w:sz w:val="20"/>
                <w:szCs w:val="20"/>
              </w:rPr>
              <w:t>R$6.457.948,38</w:t>
            </w:r>
          </w:p>
        </w:tc>
        <w:tc>
          <w:tcPr>
            <w:tcW w:w="1030" w:type="pct"/>
            <w:tcBorders>
              <w:top w:val="single" w:sz="8" w:space="0" w:color="auto"/>
            </w:tcBorders>
          </w:tcPr>
          <w:p w:rsidR="007E50AE" w:rsidRPr="007E50AE" w:rsidRDefault="007E50AE" w:rsidP="00B24F4A">
            <w:pPr>
              <w:spacing w:line="276" w:lineRule="auto"/>
              <w:jc w:val="center"/>
              <w:rPr>
                <w:rFonts w:ascii="Times New Roman" w:eastAsia="Times New Roman" w:hAnsi="Times New Roman" w:cs="Times New Roman"/>
                <w:sz w:val="20"/>
                <w:szCs w:val="20"/>
              </w:rPr>
            </w:pPr>
            <w:r w:rsidRPr="007E50AE">
              <w:rPr>
                <w:rFonts w:ascii="Times New Roman" w:hAnsi="Times New Roman" w:cs="Times New Roman"/>
                <w:sz w:val="20"/>
                <w:szCs w:val="20"/>
              </w:rPr>
              <w:t>R$1.827.004,08</w:t>
            </w:r>
          </w:p>
        </w:tc>
      </w:tr>
      <w:tr w:rsidR="007E50AE" w:rsidRPr="007E50AE" w:rsidTr="00BA0D21">
        <w:tc>
          <w:tcPr>
            <w:tcW w:w="431" w:type="pct"/>
            <w:shd w:val="clear" w:color="auto" w:fill="D9D9D9" w:themeFill="background1" w:themeFillShade="D9"/>
          </w:tcPr>
          <w:p w:rsidR="007E50AE" w:rsidRPr="007E50AE" w:rsidRDefault="007E50AE" w:rsidP="00B24F4A">
            <w:pPr>
              <w:spacing w:line="276" w:lineRule="auto"/>
              <w:jc w:val="center"/>
              <w:rPr>
                <w:rFonts w:ascii="Times New Roman" w:eastAsia="Times New Roman" w:hAnsi="Times New Roman" w:cs="Times New Roman"/>
                <w:sz w:val="20"/>
                <w:szCs w:val="20"/>
              </w:rPr>
            </w:pPr>
            <w:r w:rsidRPr="007E50AE">
              <w:rPr>
                <w:rFonts w:ascii="Times New Roman" w:eastAsia="Times New Roman" w:hAnsi="Times New Roman" w:cs="Times New Roman"/>
                <w:sz w:val="20"/>
                <w:szCs w:val="20"/>
              </w:rPr>
              <w:t>2016</w:t>
            </w:r>
          </w:p>
        </w:tc>
        <w:tc>
          <w:tcPr>
            <w:tcW w:w="1259" w:type="pct"/>
            <w:shd w:val="clear" w:color="auto" w:fill="D9D9D9" w:themeFill="background1" w:themeFillShade="D9"/>
          </w:tcPr>
          <w:p w:rsidR="007E50AE" w:rsidRPr="007E50AE" w:rsidRDefault="007E50AE" w:rsidP="00B24F4A">
            <w:pPr>
              <w:spacing w:line="276" w:lineRule="auto"/>
              <w:jc w:val="center"/>
              <w:rPr>
                <w:rFonts w:ascii="Times New Roman" w:eastAsia="Times New Roman" w:hAnsi="Times New Roman" w:cs="Times New Roman"/>
                <w:sz w:val="20"/>
                <w:szCs w:val="20"/>
              </w:rPr>
            </w:pPr>
            <w:r w:rsidRPr="007E50AE">
              <w:rPr>
                <w:rFonts w:ascii="Times New Roman" w:eastAsia="Times New Roman" w:hAnsi="Times New Roman" w:cs="Times New Roman"/>
                <w:sz w:val="20"/>
                <w:szCs w:val="20"/>
              </w:rPr>
              <w:t>3%</w:t>
            </w:r>
          </w:p>
        </w:tc>
        <w:tc>
          <w:tcPr>
            <w:tcW w:w="1250" w:type="pct"/>
            <w:shd w:val="clear" w:color="auto" w:fill="D9D9D9" w:themeFill="background1" w:themeFillShade="D9"/>
          </w:tcPr>
          <w:p w:rsidR="007E50AE" w:rsidRPr="007E50AE" w:rsidRDefault="007E50AE" w:rsidP="00B24F4A">
            <w:pPr>
              <w:spacing w:line="276" w:lineRule="auto"/>
              <w:jc w:val="center"/>
              <w:rPr>
                <w:rFonts w:ascii="Times New Roman" w:eastAsia="Times New Roman" w:hAnsi="Times New Roman" w:cs="Times New Roman"/>
                <w:sz w:val="20"/>
                <w:szCs w:val="20"/>
              </w:rPr>
            </w:pPr>
            <w:r w:rsidRPr="007E50AE">
              <w:rPr>
                <w:rFonts w:ascii="Times New Roman" w:eastAsia="Times New Roman" w:hAnsi="Times New Roman" w:cs="Times New Roman"/>
                <w:sz w:val="20"/>
                <w:szCs w:val="20"/>
              </w:rPr>
              <w:t>25,43%</w:t>
            </w:r>
          </w:p>
        </w:tc>
        <w:tc>
          <w:tcPr>
            <w:tcW w:w="1030" w:type="pct"/>
            <w:shd w:val="clear" w:color="auto" w:fill="D9D9D9" w:themeFill="background1" w:themeFillShade="D9"/>
          </w:tcPr>
          <w:p w:rsidR="007E50AE" w:rsidRPr="007E50AE" w:rsidRDefault="007E50AE" w:rsidP="00B24F4A">
            <w:pPr>
              <w:spacing w:line="276" w:lineRule="auto"/>
              <w:jc w:val="center"/>
              <w:rPr>
                <w:rFonts w:ascii="Times New Roman" w:eastAsia="Times New Roman" w:hAnsi="Times New Roman" w:cs="Times New Roman"/>
                <w:sz w:val="20"/>
                <w:szCs w:val="20"/>
              </w:rPr>
            </w:pPr>
            <w:r w:rsidRPr="007E50AE">
              <w:rPr>
                <w:rFonts w:ascii="Times New Roman" w:eastAsia="Times New Roman" w:hAnsi="Times New Roman" w:cs="Times New Roman"/>
                <w:sz w:val="20"/>
                <w:szCs w:val="20"/>
              </w:rPr>
              <w:t>R$7.258.406,19</w:t>
            </w:r>
          </w:p>
        </w:tc>
        <w:tc>
          <w:tcPr>
            <w:tcW w:w="1030" w:type="pct"/>
            <w:shd w:val="clear" w:color="auto" w:fill="D9D9D9" w:themeFill="background1" w:themeFillShade="D9"/>
          </w:tcPr>
          <w:p w:rsidR="007E50AE" w:rsidRPr="007E50AE" w:rsidRDefault="007E50AE" w:rsidP="00B24F4A">
            <w:pPr>
              <w:spacing w:line="276" w:lineRule="auto"/>
              <w:jc w:val="center"/>
              <w:rPr>
                <w:rFonts w:ascii="Times New Roman" w:eastAsia="Times New Roman" w:hAnsi="Times New Roman" w:cs="Times New Roman"/>
                <w:sz w:val="20"/>
                <w:szCs w:val="20"/>
              </w:rPr>
            </w:pPr>
            <w:r w:rsidRPr="007E50AE">
              <w:rPr>
                <w:rFonts w:ascii="Times New Roman" w:hAnsi="Times New Roman" w:cs="Times New Roman"/>
                <w:color w:val="000000"/>
                <w:sz w:val="20"/>
                <w:szCs w:val="20"/>
              </w:rPr>
              <w:t>R$1.845.812,70</w:t>
            </w:r>
          </w:p>
        </w:tc>
      </w:tr>
      <w:tr w:rsidR="007E50AE" w:rsidRPr="007E50AE" w:rsidTr="00BA0D21">
        <w:tc>
          <w:tcPr>
            <w:tcW w:w="431" w:type="pct"/>
          </w:tcPr>
          <w:p w:rsidR="007E50AE" w:rsidRPr="007E50AE" w:rsidRDefault="007E50AE" w:rsidP="00B24F4A">
            <w:pPr>
              <w:spacing w:line="276" w:lineRule="auto"/>
              <w:jc w:val="center"/>
              <w:rPr>
                <w:rFonts w:ascii="Times New Roman" w:eastAsia="Times New Roman" w:hAnsi="Times New Roman" w:cs="Times New Roman"/>
                <w:sz w:val="20"/>
                <w:szCs w:val="20"/>
              </w:rPr>
            </w:pPr>
            <w:r w:rsidRPr="007E50AE">
              <w:rPr>
                <w:rFonts w:ascii="Times New Roman" w:eastAsia="Times New Roman" w:hAnsi="Times New Roman" w:cs="Times New Roman"/>
                <w:sz w:val="20"/>
                <w:szCs w:val="20"/>
              </w:rPr>
              <w:t>2017</w:t>
            </w:r>
          </w:p>
        </w:tc>
        <w:tc>
          <w:tcPr>
            <w:tcW w:w="1259" w:type="pct"/>
          </w:tcPr>
          <w:p w:rsidR="007E50AE" w:rsidRPr="007E50AE" w:rsidRDefault="007E50AE" w:rsidP="00B24F4A">
            <w:pPr>
              <w:spacing w:line="276" w:lineRule="auto"/>
              <w:jc w:val="center"/>
              <w:rPr>
                <w:rFonts w:ascii="Times New Roman" w:eastAsia="Times New Roman" w:hAnsi="Times New Roman" w:cs="Times New Roman"/>
                <w:sz w:val="20"/>
                <w:szCs w:val="20"/>
              </w:rPr>
            </w:pPr>
            <w:r w:rsidRPr="007E50AE">
              <w:rPr>
                <w:rFonts w:ascii="Times New Roman" w:eastAsia="Times New Roman" w:hAnsi="Times New Roman" w:cs="Times New Roman"/>
                <w:sz w:val="20"/>
                <w:szCs w:val="20"/>
              </w:rPr>
              <w:t>3%</w:t>
            </w:r>
          </w:p>
        </w:tc>
        <w:tc>
          <w:tcPr>
            <w:tcW w:w="1250" w:type="pct"/>
          </w:tcPr>
          <w:p w:rsidR="007E50AE" w:rsidRPr="007E50AE" w:rsidRDefault="007E50AE" w:rsidP="00B24F4A">
            <w:pPr>
              <w:spacing w:line="276" w:lineRule="auto"/>
              <w:jc w:val="center"/>
              <w:rPr>
                <w:rFonts w:ascii="Times New Roman" w:eastAsia="Times New Roman" w:hAnsi="Times New Roman" w:cs="Times New Roman"/>
                <w:sz w:val="20"/>
                <w:szCs w:val="20"/>
              </w:rPr>
            </w:pPr>
            <w:r w:rsidRPr="007E50AE">
              <w:rPr>
                <w:rFonts w:ascii="Times New Roman" w:eastAsia="Times New Roman" w:hAnsi="Times New Roman" w:cs="Times New Roman"/>
                <w:sz w:val="20"/>
                <w:szCs w:val="20"/>
              </w:rPr>
              <w:t>33,75%</w:t>
            </w:r>
          </w:p>
        </w:tc>
        <w:tc>
          <w:tcPr>
            <w:tcW w:w="1030" w:type="pct"/>
          </w:tcPr>
          <w:p w:rsidR="007E50AE" w:rsidRPr="007E50AE" w:rsidRDefault="007E50AE" w:rsidP="00B24F4A">
            <w:pPr>
              <w:spacing w:line="276" w:lineRule="auto"/>
              <w:jc w:val="center"/>
              <w:rPr>
                <w:rFonts w:ascii="Times New Roman" w:eastAsia="Times New Roman" w:hAnsi="Times New Roman" w:cs="Times New Roman"/>
                <w:sz w:val="20"/>
                <w:szCs w:val="20"/>
              </w:rPr>
            </w:pPr>
            <w:r w:rsidRPr="007E50AE">
              <w:rPr>
                <w:rFonts w:ascii="Times New Roman" w:hAnsi="Times New Roman" w:cs="Times New Roman"/>
                <w:color w:val="000000"/>
                <w:sz w:val="20"/>
                <w:szCs w:val="20"/>
              </w:rPr>
              <w:t>R$7.106.657,60</w:t>
            </w:r>
          </w:p>
        </w:tc>
        <w:tc>
          <w:tcPr>
            <w:tcW w:w="1030" w:type="pct"/>
          </w:tcPr>
          <w:p w:rsidR="007E50AE" w:rsidRPr="007E50AE" w:rsidRDefault="007E50AE" w:rsidP="00B24F4A">
            <w:pPr>
              <w:spacing w:line="276" w:lineRule="auto"/>
              <w:jc w:val="center"/>
              <w:rPr>
                <w:rFonts w:ascii="Times New Roman" w:eastAsia="Times New Roman" w:hAnsi="Times New Roman" w:cs="Times New Roman"/>
                <w:sz w:val="20"/>
                <w:szCs w:val="20"/>
              </w:rPr>
            </w:pPr>
            <w:r w:rsidRPr="007E50AE">
              <w:rPr>
                <w:rFonts w:ascii="Times New Roman" w:hAnsi="Times New Roman" w:cs="Times New Roman"/>
                <w:color w:val="000000"/>
                <w:sz w:val="20"/>
                <w:szCs w:val="20"/>
              </w:rPr>
              <w:t>R$2.398.707,45</w:t>
            </w:r>
          </w:p>
        </w:tc>
      </w:tr>
      <w:tr w:rsidR="007E50AE" w:rsidRPr="007E50AE" w:rsidTr="00BA0D21">
        <w:tc>
          <w:tcPr>
            <w:tcW w:w="431" w:type="pct"/>
            <w:shd w:val="clear" w:color="auto" w:fill="D9D9D9" w:themeFill="background1" w:themeFillShade="D9"/>
          </w:tcPr>
          <w:p w:rsidR="007E50AE" w:rsidRPr="007E50AE" w:rsidRDefault="007E50AE" w:rsidP="00B24F4A">
            <w:pPr>
              <w:spacing w:line="276" w:lineRule="auto"/>
              <w:jc w:val="center"/>
              <w:rPr>
                <w:rFonts w:ascii="Times New Roman" w:eastAsia="Times New Roman" w:hAnsi="Times New Roman" w:cs="Times New Roman"/>
                <w:sz w:val="20"/>
                <w:szCs w:val="20"/>
              </w:rPr>
            </w:pPr>
            <w:r w:rsidRPr="007E50AE">
              <w:rPr>
                <w:rFonts w:ascii="Times New Roman" w:eastAsia="Times New Roman" w:hAnsi="Times New Roman" w:cs="Times New Roman"/>
                <w:sz w:val="20"/>
                <w:szCs w:val="20"/>
              </w:rPr>
              <w:t>2018</w:t>
            </w:r>
          </w:p>
        </w:tc>
        <w:tc>
          <w:tcPr>
            <w:tcW w:w="1259" w:type="pct"/>
            <w:shd w:val="clear" w:color="auto" w:fill="D9D9D9" w:themeFill="background1" w:themeFillShade="D9"/>
          </w:tcPr>
          <w:p w:rsidR="007E50AE" w:rsidRPr="007E50AE" w:rsidRDefault="007E50AE" w:rsidP="00B24F4A">
            <w:pPr>
              <w:spacing w:line="276" w:lineRule="auto"/>
              <w:jc w:val="center"/>
              <w:rPr>
                <w:rFonts w:ascii="Times New Roman" w:eastAsia="Times New Roman" w:hAnsi="Times New Roman" w:cs="Times New Roman"/>
                <w:sz w:val="20"/>
                <w:szCs w:val="20"/>
              </w:rPr>
            </w:pPr>
            <w:r w:rsidRPr="007E50AE">
              <w:rPr>
                <w:rFonts w:ascii="Times New Roman" w:eastAsia="Times New Roman" w:hAnsi="Times New Roman" w:cs="Times New Roman"/>
                <w:sz w:val="20"/>
                <w:szCs w:val="20"/>
              </w:rPr>
              <w:t>3%</w:t>
            </w:r>
          </w:p>
        </w:tc>
        <w:tc>
          <w:tcPr>
            <w:tcW w:w="1250" w:type="pct"/>
            <w:shd w:val="clear" w:color="auto" w:fill="D9D9D9" w:themeFill="background1" w:themeFillShade="D9"/>
          </w:tcPr>
          <w:p w:rsidR="007E50AE" w:rsidRPr="007E50AE" w:rsidRDefault="007E50AE" w:rsidP="00B24F4A">
            <w:pPr>
              <w:spacing w:line="276" w:lineRule="auto"/>
              <w:jc w:val="center"/>
              <w:rPr>
                <w:rFonts w:ascii="Times New Roman" w:eastAsia="Times New Roman" w:hAnsi="Times New Roman" w:cs="Times New Roman"/>
                <w:sz w:val="20"/>
                <w:szCs w:val="20"/>
              </w:rPr>
            </w:pPr>
            <w:r w:rsidRPr="007E50AE">
              <w:rPr>
                <w:rFonts w:ascii="Times New Roman" w:eastAsia="Times New Roman" w:hAnsi="Times New Roman" w:cs="Times New Roman"/>
                <w:sz w:val="20"/>
                <w:szCs w:val="20"/>
              </w:rPr>
              <w:t>22,52%</w:t>
            </w:r>
          </w:p>
        </w:tc>
        <w:tc>
          <w:tcPr>
            <w:tcW w:w="1030" w:type="pct"/>
            <w:shd w:val="clear" w:color="auto" w:fill="D9D9D9" w:themeFill="background1" w:themeFillShade="D9"/>
          </w:tcPr>
          <w:p w:rsidR="007E50AE" w:rsidRPr="007E50AE" w:rsidRDefault="007E50AE" w:rsidP="00B24F4A">
            <w:pPr>
              <w:spacing w:line="276" w:lineRule="auto"/>
              <w:jc w:val="center"/>
              <w:rPr>
                <w:rFonts w:ascii="Times New Roman" w:hAnsi="Times New Roman" w:cs="Times New Roman"/>
                <w:color w:val="000000"/>
                <w:sz w:val="20"/>
                <w:szCs w:val="20"/>
              </w:rPr>
            </w:pPr>
            <w:r w:rsidRPr="007E50AE">
              <w:rPr>
                <w:rFonts w:ascii="Times New Roman" w:hAnsi="Times New Roman" w:cs="Times New Roman"/>
                <w:color w:val="000000"/>
                <w:sz w:val="20"/>
                <w:szCs w:val="20"/>
              </w:rPr>
              <w:t>R$6.386.989,59</w:t>
            </w:r>
          </w:p>
        </w:tc>
        <w:tc>
          <w:tcPr>
            <w:tcW w:w="1030" w:type="pct"/>
            <w:shd w:val="clear" w:color="auto" w:fill="D9D9D9" w:themeFill="background1" w:themeFillShade="D9"/>
          </w:tcPr>
          <w:p w:rsidR="007E50AE" w:rsidRPr="007E50AE" w:rsidRDefault="007E50AE" w:rsidP="00B24F4A">
            <w:pPr>
              <w:spacing w:line="276" w:lineRule="auto"/>
              <w:jc w:val="center"/>
              <w:rPr>
                <w:rFonts w:ascii="Times New Roman" w:eastAsia="Times New Roman" w:hAnsi="Times New Roman" w:cs="Times New Roman"/>
                <w:sz w:val="20"/>
                <w:szCs w:val="20"/>
              </w:rPr>
            </w:pPr>
            <w:r w:rsidRPr="007E50AE">
              <w:rPr>
                <w:rFonts w:ascii="Times New Roman" w:hAnsi="Times New Roman" w:cs="Times New Roman"/>
                <w:color w:val="000000"/>
                <w:sz w:val="20"/>
                <w:szCs w:val="20"/>
              </w:rPr>
              <w:t>R$1.438.459,64</w:t>
            </w:r>
          </w:p>
        </w:tc>
      </w:tr>
      <w:tr w:rsidR="007E50AE" w:rsidRPr="007E50AE" w:rsidTr="00BA0D21">
        <w:tc>
          <w:tcPr>
            <w:tcW w:w="431" w:type="pct"/>
          </w:tcPr>
          <w:p w:rsidR="007E50AE" w:rsidRPr="007E50AE" w:rsidRDefault="007E50AE" w:rsidP="00B24F4A">
            <w:pPr>
              <w:spacing w:line="276" w:lineRule="auto"/>
              <w:jc w:val="center"/>
              <w:rPr>
                <w:rFonts w:ascii="Times New Roman" w:eastAsia="Times New Roman" w:hAnsi="Times New Roman" w:cs="Times New Roman"/>
                <w:sz w:val="20"/>
                <w:szCs w:val="20"/>
              </w:rPr>
            </w:pPr>
            <w:r w:rsidRPr="007E50AE">
              <w:rPr>
                <w:rFonts w:ascii="Times New Roman" w:eastAsia="Times New Roman" w:hAnsi="Times New Roman" w:cs="Times New Roman"/>
                <w:sz w:val="20"/>
                <w:szCs w:val="20"/>
              </w:rPr>
              <w:t>2019</w:t>
            </w:r>
          </w:p>
        </w:tc>
        <w:tc>
          <w:tcPr>
            <w:tcW w:w="1259" w:type="pct"/>
          </w:tcPr>
          <w:p w:rsidR="007E50AE" w:rsidRPr="007E50AE" w:rsidRDefault="007E50AE" w:rsidP="00B24F4A">
            <w:pPr>
              <w:spacing w:line="276" w:lineRule="auto"/>
              <w:jc w:val="center"/>
              <w:rPr>
                <w:rFonts w:ascii="Times New Roman" w:eastAsia="Times New Roman" w:hAnsi="Times New Roman" w:cs="Times New Roman"/>
                <w:sz w:val="20"/>
                <w:szCs w:val="20"/>
              </w:rPr>
            </w:pPr>
            <w:r w:rsidRPr="007E50AE">
              <w:rPr>
                <w:rFonts w:ascii="Times New Roman" w:eastAsia="Times New Roman" w:hAnsi="Times New Roman" w:cs="Times New Roman"/>
                <w:sz w:val="20"/>
                <w:szCs w:val="20"/>
              </w:rPr>
              <w:t>3%</w:t>
            </w:r>
          </w:p>
        </w:tc>
        <w:tc>
          <w:tcPr>
            <w:tcW w:w="1250" w:type="pct"/>
          </w:tcPr>
          <w:p w:rsidR="007E50AE" w:rsidRPr="007E50AE" w:rsidRDefault="007E50AE" w:rsidP="00B24F4A">
            <w:pPr>
              <w:spacing w:line="276" w:lineRule="auto"/>
              <w:jc w:val="center"/>
              <w:rPr>
                <w:rFonts w:ascii="Times New Roman" w:eastAsia="Times New Roman" w:hAnsi="Times New Roman" w:cs="Times New Roman"/>
                <w:sz w:val="20"/>
                <w:szCs w:val="20"/>
              </w:rPr>
            </w:pPr>
            <w:r w:rsidRPr="007E50AE">
              <w:rPr>
                <w:rFonts w:ascii="Times New Roman" w:eastAsia="Times New Roman" w:hAnsi="Times New Roman" w:cs="Times New Roman"/>
                <w:sz w:val="20"/>
                <w:szCs w:val="20"/>
              </w:rPr>
              <w:t>21,57%</w:t>
            </w:r>
          </w:p>
        </w:tc>
        <w:tc>
          <w:tcPr>
            <w:tcW w:w="1030" w:type="pct"/>
          </w:tcPr>
          <w:p w:rsidR="007E50AE" w:rsidRPr="007E50AE" w:rsidRDefault="007E50AE" w:rsidP="00B24F4A">
            <w:pPr>
              <w:spacing w:line="276" w:lineRule="auto"/>
              <w:jc w:val="center"/>
              <w:rPr>
                <w:rFonts w:ascii="Times New Roman" w:eastAsia="Times New Roman" w:hAnsi="Times New Roman" w:cs="Times New Roman"/>
                <w:sz w:val="20"/>
                <w:szCs w:val="20"/>
              </w:rPr>
            </w:pPr>
            <w:r w:rsidRPr="007E50AE">
              <w:rPr>
                <w:rFonts w:ascii="Times New Roman" w:hAnsi="Times New Roman" w:cs="Times New Roman"/>
                <w:color w:val="000000"/>
                <w:sz w:val="20"/>
                <w:szCs w:val="20"/>
              </w:rPr>
              <w:t>R$6.964.577,75</w:t>
            </w:r>
          </w:p>
        </w:tc>
        <w:tc>
          <w:tcPr>
            <w:tcW w:w="1030" w:type="pct"/>
          </w:tcPr>
          <w:p w:rsidR="007E50AE" w:rsidRPr="007E50AE" w:rsidRDefault="007E50AE" w:rsidP="00B24F4A">
            <w:pPr>
              <w:spacing w:line="276" w:lineRule="auto"/>
              <w:jc w:val="center"/>
              <w:rPr>
                <w:rFonts w:ascii="Times New Roman" w:eastAsia="Times New Roman" w:hAnsi="Times New Roman" w:cs="Times New Roman"/>
                <w:sz w:val="20"/>
                <w:szCs w:val="20"/>
              </w:rPr>
            </w:pPr>
            <w:r w:rsidRPr="007E50AE">
              <w:rPr>
                <w:rFonts w:ascii="Times New Roman" w:hAnsi="Times New Roman" w:cs="Times New Roman"/>
                <w:color w:val="000000"/>
                <w:sz w:val="20"/>
                <w:szCs w:val="20"/>
              </w:rPr>
              <w:t>R$1.502.616,29</w:t>
            </w:r>
          </w:p>
        </w:tc>
      </w:tr>
      <w:tr w:rsidR="007E50AE" w:rsidRPr="007E50AE" w:rsidTr="00BA0D21">
        <w:tc>
          <w:tcPr>
            <w:tcW w:w="431" w:type="pct"/>
            <w:shd w:val="clear" w:color="auto" w:fill="D9D9D9" w:themeFill="background1" w:themeFillShade="D9"/>
          </w:tcPr>
          <w:p w:rsidR="007E50AE" w:rsidRPr="007E50AE" w:rsidRDefault="007E50AE" w:rsidP="00B24F4A">
            <w:pPr>
              <w:spacing w:line="276" w:lineRule="auto"/>
              <w:jc w:val="center"/>
              <w:rPr>
                <w:rFonts w:ascii="Times New Roman" w:eastAsia="Times New Roman" w:hAnsi="Times New Roman" w:cs="Times New Roman"/>
                <w:sz w:val="20"/>
                <w:szCs w:val="20"/>
              </w:rPr>
            </w:pPr>
            <w:r w:rsidRPr="007E50AE">
              <w:rPr>
                <w:rFonts w:ascii="Times New Roman" w:eastAsia="Times New Roman" w:hAnsi="Times New Roman" w:cs="Times New Roman"/>
                <w:sz w:val="20"/>
                <w:szCs w:val="20"/>
              </w:rPr>
              <w:t>2020</w:t>
            </w:r>
          </w:p>
        </w:tc>
        <w:tc>
          <w:tcPr>
            <w:tcW w:w="1259" w:type="pct"/>
            <w:shd w:val="clear" w:color="auto" w:fill="D9D9D9" w:themeFill="background1" w:themeFillShade="D9"/>
          </w:tcPr>
          <w:p w:rsidR="007E50AE" w:rsidRPr="007E50AE" w:rsidRDefault="007E50AE" w:rsidP="00B24F4A">
            <w:pPr>
              <w:spacing w:line="276" w:lineRule="auto"/>
              <w:jc w:val="center"/>
              <w:rPr>
                <w:rFonts w:ascii="Times New Roman" w:eastAsia="Times New Roman" w:hAnsi="Times New Roman" w:cs="Times New Roman"/>
                <w:sz w:val="20"/>
                <w:szCs w:val="20"/>
              </w:rPr>
            </w:pPr>
            <w:r w:rsidRPr="007E50AE">
              <w:rPr>
                <w:rFonts w:ascii="Times New Roman" w:eastAsia="Times New Roman" w:hAnsi="Times New Roman" w:cs="Times New Roman"/>
                <w:sz w:val="20"/>
                <w:szCs w:val="20"/>
              </w:rPr>
              <w:t>1,25%</w:t>
            </w:r>
          </w:p>
        </w:tc>
        <w:tc>
          <w:tcPr>
            <w:tcW w:w="1250" w:type="pct"/>
            <w:shd w:val="clear" w:color="auto" w:fill="D9D9D9" w:themeFill="background1" w:themeFillShade="D9"/>
          </w:tcPr>
          <w:p w:rsidR="007E50AE" w:rsidRPr="007E50AE" w:rsidRDefault="007E50AE" w:rsidP="00B24F4A">
            <w:pPr>
              <w:spacing w:line="276" w:lineRule="auto"/>
              <w:jc w:val="center"/>
              <w:rPr>
                <w:rFonts w:ascii="Times New Roman" w:eastAsia="Times New Roman" w:hAnsi="Times New Roman" w:cs="Times New Roman"/>
                <w:sz w:val="20"/>
                <w:szCs w:val="20"/>
              </w:rPr>
            </w:pPr>
            <w:r w:rsidRPr="007E50AE">
              <w:rPr>
                <w:rFonts w:ascii="Times New Roman" w:eastAsia="Times New Roman" w:hAnsi="Times New Roman" w:cs="Times New Roman"/>
                <w:sz w:val="20"/>
                <w:szCs w:val="20"/>
              </w:rPr>
              <w:t>8,59%</w:t>
            </w:r>
          </w:p>
        </w:tc>
        <w:tc>
          <w:tcPr>
            <w:tcW w:w="1030" w:type="pct"/>
            <w:shd w:val="clear" w:color="auto" w:fill="D9D9D9" w:themeFill="background1" w:themeFillShade="D9"/>
          </w:tcPr>
          <w:p w:rsidR="007E50AE" w:rsidRPr="007E50AE" w:rsidRDefault="007E50AE" w:rsidP="00B24F4A">
            <w:pPr>
              <w:spacing w:line="276" w:lineRule="auto"/>
              <w:jc w:val="center"/>
              <w:rPr>
                <w:rFonts w:ascii="Times New Roman" w:hAnsi="Times New Roman" w:cs="Times New Roman"/>
                <w:color w:val="000000"/>
                <w:sz w:val="20"/>
                <w:szCs w:val="20"/>
              </w:rPr>
            </w:pPr>
            <w:r w:rsidRPr="007E50AE">
              <w:rPr>
                <w:rFonts w:ascii="Times New Roman" w:hAnsi="Times New Roman" w:cs="Times New Roman"/>
                <w:color w:val="000000"/>
                <w:sz w:val="20"/>
                <w:szCs w:val="20"/>
              </w:rPr>
              <w:t>R$7.319.216,68</w:t>
            </w:r>
          </w:p>
        </w:tc>
        <w:tc>
          <w:tcPr>
            <w:tcW w:w="1030" w:type="pct"/>
            <w:shd w:val="clear" w:color="auto" w:fill="D9D9D9" w:themeFill="background1" w:themeFillShade="D9"/>
          </w:tcPr>
          <w:p w:rsidR="007E50AE" w:rsidRPr="007E50AE" w:rsidRDefault="007E50AE" w:rsidP="00B24F4A">
            <w:pPr>
              <w:spacing w:line="276" w:lineRule="auto"/>
              <w:jc w:val="center"/>
              <w:rPr>
                <w:rFonts w:ascii="Times New Roman" w:hAnsi="Times New Roman" w:cs="Times New Roman"/>
                <w:color w:val="000000"/>
                <w:sz w:val="20"/>
                <w:szCs w:val="20"/>
              </w:rPr>
            </w:pPr>
            <w:r w:rsidRPr="007E50AE">
              <w:rPr>
                <w:rFonts w:ascii="Times New Roman" w:hAnsi="Times New Roman" w:cs="Times New Roman"/>
                <w:color w:val="000000"/>
                <w:sz w:val="20"/>
                <w:szCs w:val="20"/>
              </w:rPr>
              <w:t>R$628.688,15</w:t>
            </w:r>
          </w:p>
        </w:tc>
      </w:tr>
      <w:tr w:rsidR="007E50AE" w:rsidRPr="007E50AE" w:rsidTr="00BA0D21">
        <w:tc>
          <w:tcPr>
            <w:tcW w:w="431" w:type="pct"/>
            <w:tcBorders>
              <w:bottom w:val="single" w:sz="8" w:space="0" w:color="auto"/>
            </w:tcBorders>
          </w:tcPr>
          <w:p w:rsidR="007E50AE" w:rsidRPr="007E50AE" w:rsidRDefault="007E50AE" w:rsidP="00B24F4A">
            <w:pPr>
              <w:spacing w:line="276" w:lineRule="auto"/>
              <w:jc w:val="center"/>
              <w:rPr>
                <w:rFonts w:ascii="Times New Roman" w:eastAsia="Times New Roman" w:hAnsi="Times New Roman" w:cs="Times New Roman"/>
                <w:sz w:val="20"/>
                <w:szCs w:val="20"/>
              </w:rPr>
            </w:pPr>
            <w:r w:rsidRPr="007E50AE">
              <w:rPr>
                <w:rFonts w:ascii="Times New Roman" w:eastAsia="Times New Roman" w:hAnsi="Times New Roman" w:cs="Times New Roman"/>
                <w:sz w:val="20"/>
                <w:szCs w:val="20"/>
              </w:rPr>
              <w:t>2021</w:t>
            </w:r>
          </w:p>
        </w:tc>
        <w:tc>
          <w:tcPr>
            <w:tcW w:w="1259" w:type="pct"/>
            <w:tcBorders>
              <w:bottom w:val="single" w:sz="8" w:space="0" w:color="auto"/>
            </w:tcBorders>
          </w:tcPr>
          <w:p w:rsidR="007E50AE" w:rsidRPr="007E50AE" w:rsidRDefault="007E50AE" w:rsidP="00B24F4A">
            <w:pPr>
              <w:spacing w:line="276" w:lineRule="auto"/>
              <w:jc w:val="center"/>
              <w:rPr>
                <w:rFonts w:ascii="Times New Roman" w:eastAsia="Times New Roman" w:hAnsi="Times New Roman" w:cs="Times New Roman"/>
                <w:sz w:val="20"/>
                <w:szCs w:val="20"/>
              </w:rPr>
            </w:pPr>
            <w:r w:rsidRPr="007E50AE">
              <w:rPr>
                <w:rFonts w:ascii="Times New Roman" w:eastAsia="Times New Roman" w:hAnsi="Times New Roman" w:cs="Times New Roman"/>
                <w:sz w:val="20"/>
                <w:szCs w:val="20"/>
              </w:rPr>
              <w:t>1,25%</w:t>
            </w:r>
          </w:p>
        </w:tc>
        <w:tc>
          <w:tcPr>
            <w:tcW w:w="1250" w:type="pct"/>
            <w:tcBorders>
              <w:bottom w:val="single" w:sz="8" w:space="0" w:color="auto"/>
            </w:tcBorders>
          </w:tcPr>
          <w:p w:rsidR="007E50AE" w:rsidRPr="007E50AE" w:rsidRDefault="007E50AE" w:rsidP="00B24F4A">
            <w:pPr>
              <w:spacing w:line="276" w:lineRule="auto"/>
              <w:jc w:val="center"/>
              <w:rPr>
                <w:rFonts w:ascii="Times New Roman" w:eastAsia="Times New Roman" w:hAnsi="Times New Roman" w:cs="Times New Roman"/>
                <w:sz w:val="20"/>
                <w:szCs w:val="20"/>
              </w:rPr>
            </w:pPr>
            <w:r w:rsidRPr="007E50AE">
              <w:rPr>
                <w:rFonts w:ascii="Times New Roman" w:eastAsia="Times New Roman" w:hAnsi="Times New Roman" w:cs="Times New Roman"/>
                <w:sz w:val="20"/>
                <w:szCs w:val="20"/>
              </w:rPr>
              <w:t>8,10%</w:t>
            </w:r>
          </w:p>
        </w:tc>
        <w:tc>
          <w:tcPr>
            <w:tcW w:w="1030" w:type="pct"/>
            <w:tcBorders>
              <w:bottom w:val="single" w:sz="8" w:space="0" w:color="auto"/>
            </w:tcBorders>
          </w:tcPr>
          <w:p w:rsidR="007E50AE" w:rsidRPr="007E50AE" w:rsidRDefault="007E50AE" w:rsidP="00B24F4A">
            <w:pPr>
              <w:spacing w:line="276" w:lineRule="auto"/>
              <w:jc w:val="center"/>
              <w:rPr>
                <w:rFonts w:ascii="Times New Roman" w:hAnsi="Times New Roman" w:cs="Times New Roman"/>
                <w:color w:val="000000"/>
                <w:sz w:val="20"/>
                <w:szCs w:val="20"/>
              </w:rPr>
            </w:pPr>
            <w:r w:rsidRPr="007E50AE">
              <w:rPr>
                <w:rFonts w:ascii="Times New Roman" w:hAnsi="Times New Roman" w:cs="Times New Roman"/>
                <w:color w:val="000000"/>
                <w:sz w:val="20"/>
                <w:szCs w:val="20"/>
              </w:rPr>
              <w:t>R$3.227.546,20</w:t>
            </w:r>
            <w:r w:rsidRPr="007E50AE">
              <w:rPr>
                <w:rStyle w:val="Refdenotaderodap"/>
                <w:rFonts w:ascii="Times New Roman" w:hAnsi="Times New Roman" w:cs="Times New Roman"/>
                <w:color w:val="000000"/>
                <w:sz w:val="20"/>
                <w:szCs w:val="20"/>
              </w:rPr>
              <w:footnoteReference w:id="3"/>
            </w:r>
          </w:p>
        </w:tc>
        <w:tc>
          <w:tcPr>
            <w:tcW w:w="1030" w:type="pct"/>
            <w:tcBorders>
              <w:bottom w:val="single" w:sz="8" w:space="0" w:color="auto"/>
            </w:tcBorders>
          </w:tcPr>
          <w:p w:rsidR="007E50AE" w:rsidRPr="007E50AE" w:rsidRDefault="007E50AE" w:rsidP="00B24F4A">
            <w:pPr>
              <w:spacing w:line="276" w:lineRule="auto"/>
              <w:jc w:val="center"/>
              <w:rPr>
                <w:rFonts w:ascii="Times New Roman" w:hAnsi="Times New Roman" w:cs="Times New Roman"/>
                <w:color w:val="000000"/>
                <w:sz w:val="20"/>
                <w:szCs w:val="20"/>
              </w:rPr>
            </w:pPr>
            <w:r w:rsidRPr="007E50AE">
              <w:rPr>
                <w:rFonts w:ascii="Times New Roman" w:hAnsi="Times New Roman" w:cs="Times New Roman"/>
                <w:color w:val="000000"/>
                <w:sz w:val="20"/>
                <w:szCs w:val="20"/>
              </w:rPr>
              <w:t>R$261.431,24</w:t>
            </w:r>
          </w:p>
        </w:tc>
      </w:tr>
      <w:tr w:rsidR="007E50AE" w:rsidRPr="007E50AE" w:rsidTr="00BA0D21">
        <w:tc>
          <w:tcPr>
            <w:tcW w:w="431" w:type="pct"/>
            <w:tcBorders>
              <w:top w:val="single" w:sz="8" w:space="0" w:color="auto"/>
              <w:bottom w:val="single" w:sz="18" w:space="0" w:color="auto"/>
            </w:tcBorders>
          </w:tcPr>
          <w:p w:rsidR="007E50AE" w:rsidRPr="007E50AE" w:rsidRDefault="007E50AE" w:rsidP="00B24F4A">
            <w:pPr>
              <w:jc w:val="center"/>
              <w:rPr>
                <w:rFonts w:ascii="Times New Roman" w:eastAsia="Times New Roman" w:hAnsi="Times New Roman" w:cs="Times New Roman"/>
                <w:b/>
                <w:sz w:val="20"/>
                <w:szCs w:val="20"/>
              </w:rPr>
            </w:pPr>
            <w:r w:rsidRPr="007E50AE">
              <w:rPr>
                <w:rFonts w:ascii="Times New Roman" w:eastAsia="Times New Roman" w:hAnsi="Times New Roman" w:cs="Times New Roman"/>
                <w:b/>
                <w:sz w:val="20"/>
                <w:szCs w:val="20"/>
              </w:rPr>
              <w:t>Total</w:t>
            </w:r>
          </w:p>
        </w:tc>
        <w:tc>
          <w:tcPr>
            <w:tcW w:w="1259" w:type="pct"/>
            <w:tcBorders>
              <w:top w:val="single" w:sz="8" w:space="0" w:color="auto"/>
              <w:bottom w:val="single" w:sz="12" w:space="0" w:color="auto"/>
            </w:tcBorders>
          </w:tcPr>
          <w:p w:rsidR="007E50AE" w:rsidRPr="007E50AE" w:rsidRDefault="007E50AE" w:rsidP="00B24F4A">
            <w:pPr>
              <w:jc w:val="center"/>
              <w:rPr>
                <w:rFonts w:ascii="Times New Roman" w:eastAsia="Times New Roman" w:hAnsi="Times New Roman" w:cs="Times New Roman"/>
                <w:sz w:val="20"/>
                <w:szCs w:val="20"/>
              </w:rPr>
            </w:pPr>
          </w:p>
        </w:tc>
        <w:tc>
          <w:tcPr>
            <w:tcW w:w="1250" w:type="pct"/>
            <w:tcBorders>
              <w:top w:val="single" w:sz="8" w:space="0" w:color="auto"/>
              <w:bottom w:val="single" w:sz="12" w:space="0" w:color="auto"/>
            </w:tcBorders>
          </w:tcPr>
          <w:p w:rsidR="007E50AE" w:rsidRPr="007E50AE" w:rsidRDefault="007E50AE" w:rsidP="00B24F4A">
            <w:pPr>
              <w:jc w:val="center"/>
              <w:rPr>
                <w:rFonts w:ascii="Times New Roman" w:eastAsia="Times New Roman" w:hAnsi="Times New Roman" w:cs="Times New Roman"/>
                <w:sz w:val="20"/>
                <w:szCs w:val="20"/>
              </w:rPr>
            </w:pPr>
          </w:p>
        </w:tc>
        <w:tc>
          <w:tcPr>
            <w:tcW w:w="1030" w:type="pct"/>
            <w:tcBorders>
              <w:top w:val="single" w:sz="8" w:space="0" w:color="auto"/>
              <w:bottom w:val="single" w:sz="12" w:space="0" w:color="auto"/>
            </w:tcBorders>
          </w:tcPr>
          <w:p w:rsidR="007E50AE" w:rsidRPr="007E50AE" w:rsidRDefault="007E50AE" w:rsidP="00B24F4A">
            <w:pPr>
              <w:jc w:val="center"/>
              <w:rPr>
                <w:rFonts w:ascii="Times New Roman" w:hAnsi="Times New Roman" w:cs="Times New Roman"/>
                <w:b/>
                <w:color w:val="000000"/>
                <w:sz w:val="20"/>
                <w:szCs w:val="20"/>
              </w:rPr>
            </w:pPr>
            <w:r w:rsidRPr="007E50AE">
              <w:rPr>
                <w:rFonts w:ascii="Times New Roman" w:hAnsi="Times New Roman" w:cs="Times New Roman"/>
                <w:b/>
                <w:color w:val="000000"/>
                <w:sz w:val="20"/>
                <w:szCs w:val="20"/>
              </w:rPr>
              <w:t>R$44.721.342,39</w:t>
            </w:r>
          </w:p>
        </w:tc>
        <w:tc>
          <w:tcPr>
            <w:tcW w:w="1030" w:type="pct"/>
            <w:tcBorders>
              <w:top w:val="single" w:sz="8" w:space="0" w:color="auto"/>
              <w:bottom w:val="single" w:sz="12" w:space="0" w:color="auto"/>
            </w:tcBorders>
          </w:tcPr>
          <w:p w:rsidR="007E50AE" w:rsidRPr="007E50AE" w:rsidRDefault="007E50AE" w:rsidP="00B24F4A">
            <w:pPr>
              <w:jc w:val="center"/>
              <w:rPr>
                <w:rFonts w:ascii="Times New Roman" w:hAnsi="Times New Roman" w:cs="Times New Roman"/>
                <w:b/>
                <w:color w:val="000000"/>
                <w:sz w:val="20"/>
                <w:szCs w:val="20"/>
              </w:rPr>
            </w:pPr>
            <w:r w:rsidRPr="007E50AE">
              <w:rPr>
                <w:rFonts w:ascii="Times New Roman" w:hAnsi="Times New Roman" w:cs="Times New Roman"/>
                <w:b/>
                <w:color w:val="000000"/>
                <w:sz w:val="20"/>
                <w:szCs w:val="20"/>
              </w:rPr>
              <w:t>R$9.902.719,55</w:t>
            </w:r>
          </w:p>
        </w:tc>
      </w:tr>
    </w:tbl>
    <w:p w:rsidR="007E50AE" w:rsidRPr="007E50AE" w:rsidRDefault="007E50AE" w:rsidP="007E50AE">
      <w:pPr>
        <w:spacing w:line="360" w:lineRule="auto"/>
        <w:jc w:val="both"/>
        <w:rPr>
          <w:rFonts w:ascii="Times New Roman" w:eastAsia="Times New Roman" w:hAnsi="Times New Roman" w:cs="Times New Roman"/>
          <w:sz w:val="20"/>
          <w:szCs w:val="20"/>
        </w:rPr>
      </w:pPr>
      <w:r w:rsidRPr="007E50AE">
        <w:rPr>
          <w:rFonts w:ascii="Times New Roman" w:eastAsia="Times New Roman" w:hAnsi="Times New Roman" w:cs="Times New Roman"/>
          <w:sz w:val="20"/>
          <w:szCs w:val="20"/>
        </w:rPr>
        <w:t xml:space="preserve">Fonte: GOIÁS, 2020; GOIÁS, 2021. Elaborado pelas autoras. </w:t>
      </w:r>
    </w:p>
    <w:p w:rsidR="007E50AE" w:rsidRPr="007E50AE" w:rsidRDefault="007E50AE" w:rsidP="007E50AE">
      <w:pPr>
        <w:spacing w:line="360" w:lineRule="auto"/>
        <w:jc w:val="both"/>
        <w:rPr>
          <w:rFonts w:ascii="Times New Roman" w:eastAsia="Times New Roman" w:hAnsi="Times New Roman" w:cs="Times New Roman"/>
          <w:sz w:val="24"/>
          <w:szCs w:val="24"/>
        </w:rPr>
      </w:pPr>
    </w:p>
    <w:p w:rsidR="007E50AE" w:rsidRPr="007E50AE" w:rsidRDefault="007E50AE" w:rsidP="007E50AE">
      <w:pPr>
        <w:spacing w:line="360" w:lineRule="auto"/>
        <w:jc w:val="both"/>
        <w:rPr>
          <w:rFonts w:ascii="Times New Roman" w:eastAsia="Times New Roman" w:hAnsi="Times New Roman" w:cs="Times New Roman"/>
          <w:color w:val="000000"/>
          <w:sz w:val="24"/>
          <w:szCs w:val="24"/>
        </w:rPr>
      </w:pPr>
      <w:r w:rsidRPr="007E50AE">
        <w:rPr>
          <w:rFonts w:ascii="Times New Roman" w:hAnsi="Times New Roman" w:cs="Times New Roman"/>
          <w:b/>
          <w:sz w:val="24"/>
          <w:szCs w:val="24"/>
        </w:rPr>
        <w:tab/>
      </w:r>
      <w:r w:rsidRPr="007E50AE">
        <w:rPr>
          <w:rFonts w:ascii="Times New Roman" w:hAnsi="Times New Roman" w:cs="Times New Roman"/>
          <w:sz w:val="24"/>
          <w:szCs w:val="24"/>
        </w:rPr>
        <w:t xml:space="preserve">De acordo com os dados mencionados na tabela 01, nos últimos seis anos e 05 meses, somente a título de repasse do ICMS-Ecológico, o município arrecadou </w:t>
      </w:r>
      <w:r w:rsidRPr="007E50AE">
        <w:rPr>
          <w:rFonts w:ascii="Times New Roman" w:eastAsia="Times New Roman" w:hAnsi="Times New Roman" w:cs="Times New Roman"/>
          <w:color w:val="000000"/>
          <w:sz w:val="24"/>
          <w:szCs w:val="24"/>
        </w:rPr>
        <w:t>R$9.902.719,55. Isso demonstra que ações de defesa e preservação ambiental também geram recursos para os cofres públicos, os quais podem ser aplicados em ações para o desenvolvimento socioeconômico da população local, visto que tal repasse não é vinculado, ou seja, não precisa ser reinvestido em gasto ambiental.</w:t>
      </w:r>
    </w:p>
    <w:p w:rsidR="007E50AE" w:rsidRPr="007E50AE" w:rsidRDefault="007E50AE" w:rsidP="007E50AE">
      <w:pPr>
        <w:spacing w:line="360" w:lineRule="auto"/>
        <w:jc w:val="both"/>
        <w:rPr>
          <w:rFonts w:ascii="Times New Roman" w:eastAsia="Times New Roman" w:hAnsi="Times New Roman" w:cs="Times New Roman"/>
          <w:color w:val="000000"/>
          <w:sz w:val="24"/>
          <w:szCs w:val="24"/>
        </w:rPr>
      </w:pPr>
      <w:r w:rsidRPr="007E50AE">
        <w:rPr>
          <w:rFonts w:ascii="Times New Roman" w:eastAsia="Times New Roman" w:hAnsi="Times New Roman" w:cs="Times New Roman"/>
          <w:color w:val="000000"/>
          <w:sz w:val="24"/>
          <w:szCs w:val="24"/>
        </w:rPr>
        <w:tab/>
        <w:t xml:space="preserve">Por fim, interessante destacar que como as </w:t>
      </w:r>
      <w:proofErr w:type="spellStart"/>
      <w:r w:rsidRPr="007E50AE">
        <w:rPr>
          <w:rFonts w:ascii="Times New Roman" w:eastAsia="Times New Roman" w:hAnsi="Times New Roman" w:cs="Times New Roman"/>
          <w:color w:val="000000"/>
          <w:sz w:val="24"/>
          <w:szCs w:val="24"/>
        </w:rPr>
        <w:t>RPPNs</w:t>
      </w:r>
      <w:proofErr w:type="spellEnd"/>
      <w:r w:rsidRPr="007E50AE">
        <w:rPr>
          <w:rFonts w:ascii="Times New Roman" w:eastAsia="Times New Roman" w:hAnsi="Times New Roman" w:cs="Times New Roman"/>
          <w:color w:val="000000"/>
          <w:sz w:val="24"/>
          <w:szCs w:val="24"/>
        </w:rPr>
        <w:t xml:space="preserve"> podem gerar o acesso dos municípios ao repasse do ICMS Verde, além de também ajudarem na efetivação de ações ambientais que permitem alcançar um índice ecológico mais alto, três municípios do Rio de Janeiro (Rio Claro, </w:t>
      </w:r>
      <w:proofErr w:type="spellStart"/>
      <w:r w:rsidRPr="007E50AE">
        <w:rPr>
          <w:rFonts w:ascii="Times New Roman" w:eastAsia="Times New Roman" w:hAnsi="Times New Roman" w:cs="Times New Roman"/>
          <w:color w:val="000000"/>
          <w:sz w:val="24"/>
          <w:szCs w:val="24"/>
        </w:rPr>
        <w:t>Varre-Sai</w:t>
      </w:r>
      <w:proofErr w:type="spellEnd"/>
      <w:r w:rsidRPr="007E50AE">
        <w:rPr>
          <w:rFonts w:ascii="Times New Roman" w:eastAsia="Times New Roman" w:hAnsi="Times New Roman" w:cs="Times New Roman"/>
          <w:color w:val="000000"/>
          <w:sz w:val="24"/>
          <w:szCs w:val="24"/>
        </w:rPr>
        <w:t xml:space="preserve"> e </w:t>
      </w:r>
      <w:proofErr w:type="spellStart"/>
      <w:r w:rsidRPr="007E50AE">
        <w:rPr>
          <w:rFonts w:ascii="Times New Roman" w:eastAsia="Times New Roman" w:hAnsi="Times New Roman" w:cs="Times New Roman"/>
          <w:color w:val="000000"/>
          <w:sz w:val="24"/>
          <w:szCs w:val="24"/>
        </w:rPr>
        <w:t>Aperibé</w:t>
      </w:r>
      <w:proofErr w:type="spellEnd"/>
      <w:r w:rsidRPr="007E50AE">
        <w:rPr>
          <w:rFonts w:ascii="Times New Roman" w:eastAsia="Times New Roman" w:hAnsi="Times New Roman" w:cs="Times New Roman"/>
          <w:color w:val="000000"/>
          <w:sz w:val="24"/>
          <w:szCs w:val="24"/>
        </w:rPr>
        <w:t xml:space="preserve">) aprovaram leis municipais que permitem transferir parte deste recurso para os proprietários das </w:t>
      </w:r>
      <w:proofErr w:type="spellStart"/>
      <w:r w:rsidRPr="007E50AE">
        <w:rPr>
          <w:rFonts w:ascii="Times New Roman" w:eastAsia="Times New Roman" w:hAnsi="Times New Roman" w:cs="Times New Roman"/>
          <w:color w:val="000000"/>
          <w:sz w:val="24"/>
          <w:szCs w:val="24"/>
        </w:rPr>
        <w:t>UCs</w:t>
      </w:r>
      <w:proofErr w:type="spellEnd"/>
      <w:r w:rsidRPr="007E50AE">
        <w:rPr>
          <w:rFonts w:ascii="Times New Roman" w:eastAsia="Times New Roman" w:hAnsi="Times New Roman" w:cs="Times New Roman"/>
          <w:color w:val="000000"/>
          <w:sz w:val="24"/>
          <w:szCs w:val="24"/>
        </w:rPr>
        <w:t xml:space="preserve"> privadas, a fim de que apliquem na manutenção da reserva. Dentre elas podemos exemplificar com </w:t>
      </w:r>
      <w:proofErr w:type="spellStart"/>
      <w:r w:rsidRPr="007E50AE">
        <w:rPr>
          <w:rFonts w:ascii="Times New Roman" w:eastAsia="Times New Roman" w:hAnsi="Times New Roman" w:cs="Times New Roman"/>
          <w:color w:val="000000"/>
          <w:sz w:val="24"/>
          <w:szCs w:val="24"/>
        </w:rPr>
        <w:t>Varre-Sai</w:t>
      </w:r>
      <w:proofErr w:type="spellEnd"/>
      <w:r w:rsidRPr="007E50AE">
        <w:rPr>
          <w:rFonts w:ascii="Times New Roman" w:eastAsia="Times New Roman" w:hAnsi="Times New Roman" w:cs="Times New Roman"/>
          <w:color w:val="000000"/>
          <w:sz w:val="24"/>
          <w:szCs w:val="24"/>
        </w:rPr>
        <w:t xml:space="preserve">, que em 2014 repassou R$56.518,25 para as 13 </w:t>
      </w:r>
      <w:proofErr w:type="spellStart"/>
      <w:r w:rsidRPr="007E50AE">
        <w:rPr>
          <w:rFonts w:ascii="Times New Roman" w:eastAsia="Times New Roman" w:hAnsi="Times New Roman" w:cs="Times New Roman"/>
          <w:color w:val="000000"/>
          <w:sz w:val="24"/>
          <w:szCs w:val="24"/>
        </w:rPr>
        <w:t>RPPNs</w:t>
      </w:r>
      <w:proofErr w:type="spellEnd"/>
      <w:r w:rsidRPr="007E50AE">
        <w:rPr>
          <w:rFonts w:ascii="Times New Roman" w:eastAsia="Times New Roman" w:hAnsi="Times New Roman" w:cs="Times New Roman"/>
          <w:color w:val="000000"/>
          <w:sz w:val="24"/>
          <w:szCs w:val="24"/>
        </w:rPr>
        <w:t xml:space="preserve"> existentes em seu território, rateado conforme a extensão de cada uma (R$272,64 para cada hectare) (MONSORES, 2018).  </w:t>
      </w:r>
    </w:p>
    <w:p w:rsidR="007E50AE" w:rsidRDefault="007E50AE" w:rsidP="00A078C8">
      <w:pPr>
        <w:spacing w:line="360" w:lineRule="auto"/>
        <w:rPr>
          <w:rFonts w:ascii="Times New Roman" w:eastAsia="Times New Roman" w:hAnsi="Times New Roman" w:cs="Times New Roman"/>
          <w:b/>
          <w:smallCaps/>
          <w:color w:val="1F497D" w:themeColor="text2"/>
          <w:sz w:val="24"/>
          <w:szCs w:val="24"/>
        </w:rPr>
      </w:pPr>
    </w:p>
    <w:p w:rsidR="00A078C8" w:rsidRDefault="00A078C8" w:rsidP="00A078C8">
      <w:pPr>
        <w:spacing w:line="360" w:lineRule="auto"/>
        <w:rPr>
          <w:rFonts w:ascii="Times New Roman" w:eastAsia="Times New Roman" w:hAnsi="Times New Roman" w:cs="Times New Roman"/>
          <w:b/>
          <w:smallCaps/>
          <w:color w:val="1F497D" w:themeColor="text2"/>
        </w:rPr>
      </w:pPr>
      <w:r w:rsidRPr="00BB58FC">
        <w:rPr>
          <w:rFonts w:ascii="Times New Roman" w:eastAsia="Times New Roman" w:hAnsi="Times New Roman" w:cs="Times New Roman"/>
          <w:b/>
          <w:smallCaps/>
          <w:color w:val="1F497D" w:themeColor="text2"/>
          <w:sz w:val="56"/>
          <w:szCs w:val="56"/>
        </w:rPr>
        <w:t>C</w:t>
      </w:r>
      <w:r>
        <w:rPr>
          <w:rFonts w:ascii="Times New Roman" w:eastAsia="Times New Roman" w:hAnsi="Times New Roman" w:cs="Times New Roman"/>
          <w:b/>
          <w:smallCaps/>
          <w:color w:val="1F497D" w:themeColor="text2"/>
          <w:sz w:val="24"/>
          <w:szCs w:val="24"/>
        </w:rPr>
        <w:t xml:space="preserve">ONSIDERAÇÕES </w:t>
      </w:r>
      <w:r w:rsidRPr="00BB58FC">
        <w:rPr>
          <w:rFonts w:ascii="Times New Roman" w:eastAsia="Times New Roman" w:hAnsi="Times New Roman" w:cs="Times New Roman"/>
          <w:b/>
          <w:smallCaps/>
          <w:color w:val="1F497D" w:themeColor="text2"/>
          <w:sz w:val="56"/>
          <w:szCs w:val="56"/>
        </w:rPr>
        <w:t>F</w:t>
      </w:r>
      <w:r>
        <w:rPr>
          <w:rFonts w:ascii="Times New Roman" w:eastAsia="Times New Roman" w:hAnsi="Times New Roman" w:cs="Times New Roman"/>
          <w:b/>
          <w:smallCaps/>
          <w:color w:val="1F497D" w:themeColor="text2"/>
          <w:sz w:val="24"/>
          <w:szCs w:val="24"/>
        </w:rPr>
        <w:t>INAIS</w:t>
      </w:r>
    </w:p>
    <w:p w:rsidR="00BA0D21" w:rsidRPr="00BA0D21" w:rsidRDefault="00BA0D21" w:rsidP="00BA0D2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BA0D21">
        <w:rPr>
          <w:rFonts w:ascii="Times New Roman" w:hAnsi="Times New Roman" w:cs="Times New Roman"/>
          <w:sz w:val="24"/>
          <w:szCs w:val="24"/>
        </w:rPr>
        <w:t xml:space="preserve">As Reservas Particulares de Patrimônio Natural são unidades de conservação que </w:t>
      </w:r>
      <w:r w:rsidRPr="00BA0D21">
        <w:rPr>
          <w:rFonts w:ascii="Times New Roman" w:hAnsi="Times New Roman" w:cs="Times New Roman"/>
          <w:sz w:val="24"/>
          <w:szCs w:val="24"/>
        </w:rPr>
        <w:lastRenderedPageBreak/>
        <w:t xml:space="preserve">existem no país há mais de 30 anos e se mostram importantes instrumentos para proteção ambiental. Por serem criadas por particulares e também por eles gerida, democratiza a conservação em áreas que poderiam não contar com o interesse do poder público e ainda prestam serviços ecossistêmicos à toda a coletividade, sem gerar custos ao erário. </w:t>
      </w:r>
    </w:p>
    <w:p w:rsidR="00BA0D21" w:rsidRPr="00BA0D21" w:rsidRDefault="00BA0D21" w:rsidP="00BA0D21">
      <w:pPr>
        <w:spacing w:line="360" w:lineRule="auto"/>
        <w:jc w:val="both"/>
        <w:rPr>
          <w:rFonts w:ascii="Times New Roman" w:hAnsi="Times New Roman" w:cs="Times New Roman"/>
          <w:sz w:val="24"/>
          <w:szCs w:val="24"/>
        </w:rPr>
      </w:pPr>
      <w:r w:rsidRPr="00BA0D21">
        <w:rPr>
          <w:rFonts w:ascii="Times New Roman" w:hAnsi="Times New Roman" w:cs="Times New Roman"/>
          <w:sz w:val="24"/>
          <w:szCs w:val="24"/>
        </w:rPr>
        <w:tab/>
        <w:t xml:space="preserve">Pirenópolis é o município que conta com a maior quantidade de </w:t>
      </w:r>
      <w:proofErr w:type="spellStart"/>
      <w:r w:rsidRPr="00BA0D21">
        <w:rPr>
          <w:rFonts w:ascii="Times New Roman" w:hAnsi="Times New Roman" w:cs="Times New Roman"/>
          <w:sz w:val="24"/>
          <w:szCs w:val="24"/>
        </w:rPr>
        <w:t>RPPNs</w:t>
      </w:r>
      <w:proofErr w:type="spellEnd"/>
      <w:r w:rsidRPr="00BA0D21">
        <w:rPr>
          <w:rFonts w:ascii="Times New Roman" w:hAnsi="Times New Roman" w:cs="Times New Roman"/>
          <w:sz w:val="24"/>
          <w:szCs w:val="24"/>
        </w:rPr>
        <w:t xml:space="preserve"> no estado de Goiás. Se localiza no cerrado, que é o segundo bioma mais degradado no Brasil, por ter sido considerado, por longo período, “zona de sacrifício” para impedir maior destruição do bioma amazônico. A criação de unidades de conservação de forma voluntaria e em caráter perpétuo, para salvaguardar a fauna e a flora que são peculiares ao cerrado, transforma esses particulares em agentes protetores do bioma e ainda </w:t>
      </w:r>
      <w:proofErr w:type="spellStart"/>
      <w:r w:rsidRPr="00BA0D21">
        <w:rPr>
          <w:rFonts w:ascii="Times New Roman" w:hAnsi="Times New Roman" w:cs="Times New Roman"/>
          <w:sz w:val="24"/>
          <w:szCs w:val="24"/>
        </w:rPr>
        <w:t>efetivadores</w:t>
      </w:r>
      <w:proofErr w:type="spellEnd"/>
      <w:r w:rsidRPr="00BA0D21">
        <w:rPr>
          <w:rFonts w:ascii="Times New Roman" w:hAnsi="Times New Roman" w:cs="Times New Roman"/>
          <w:sz w:val="24"/>
          <w:szCs w:val="24"/>
        </w:rPr>
        <w:t xml:space="preserve"> de direitos humanos </w:t>
      </w:r>
      <w:proofErr w:type="spellStart"/>
      <w:r w:rsidRPr="00BA0D21">
        <w:rPr>
          <w:rFonts w:ascii="Times New Roman" w:hAnsi="Times New Roman" w:cs="Times New Roman"/>
          <w:sz w:val="24"/>
          <w:szCs w:val="24"/>
        </w:rPr>
        <w:t>intergeracionais</w:t>
      </w:r>
      <w:proofErr w:type="spellEnd"/>
      <w:r w:rsidRPr="00BA0D21">
        <w:rPr>
          <w:rFonts w:ascii="Times New Roman" w:hAnsi="Times New Roman" w:cs="Times New Roman"/>
          <w:sz w:val="24"/>
          <w:szCs w:val="24"/>
        </w:rPr>
        <w:t>.</w:t>
      </w:r>
    </w:p>
    <w:p w:rsidR="00BA0D21" w:rsidRDefault="00BA0D21" w:rsidP="00BA0D21">
      <w:pPr>
        <w:spacing w:line="360" w:lineRule="auto"/>
        <w:jc w:val="both"/>
        <w:rPr>
          <w:rFonts w:ascii="Times New Roman" w:hAnsi="Times New Roman" w:cs="Times New Roman"/>
          <w:sz w:val="24"/>
          <w:szCs w:val="24"/>
        </w:rPr>
      </w:pPr>
      <w:r w:rsidRPr="00BA0D21">
        <w:rPr>
          <w:rFonts w:ascii="Times New Roman" w:hAnsi="Times New Roman" w:cs="Times New Roman"/>
          <w:sz w:val="24"/>
          <w:szCs w:val="24"/>
        </w:rPr>
        <w:tab/>
        <w:t xml:space="preserve">Por existirem poucas atividades econômicas que podem ser exploradas dentro de uma RPPN e diante do grande serviço ecossistêmico que prestam à coletividade, seria fundamental um maior reconhecimento governamental. Políticas públicas que auxiliem os proprietários de reservas a arcar com os custos necessários para a manutenção da UC se mostram imprescindíveis. O ICMS Ecológico, como demonstrado, pode ser uma dessas fontes de recurso. </w:t>
      </w:r>
    </w:p>
    <w:p w:rsidR="00A078C8" w:rsidRPr="00D5568E" w:rsidRDefault="00A078C8" w:rsidP="00A078C8">
      <w:pPr>
        <w:spacing w:line="360" w:lineRule="auto"/>
        <w:rPr>
          <w:rFonts w:ascii="Times New Roman" w:eastAsia="Times New Roman" w:hAnsi="Times New Roman" w:cs="Times New Roman"/>
          <w:b/>
          <w:smallCaps/>
          <w:color w:val="000000"/>
          <w:sz w:val="20"/>
          <w:szCs w:val="20"/>
        </w:rPr>
      </w:pPr>
    </w:p>
    <w:p w:rsidR="00D5568E" w:rsidRPr="00D5568E" w:rsidRDefault="00D5568E" w:rsidP="00A078C8">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A</w:t>
      </w:r>
      <w:r w:rsidRPr="006627A8">
        <w:rPr>
          <w:rFonts w:ascii="Times New Roman" w:eastAsia="Times New Roman" w:hAnsi="Times New Roman" w:cs="Times New Roman"/>
          <w:b/>
          <w:smallCaps/>
          <w:color w:val="1F497D" w:themeColor="text2"/>
          <w:sz w:val="24"/>
          <w:szCs w:val="24"/>
        </w:rPr>
        <w:t>gradecimentos</w:t>
      </w:r>
    </w:p>
    <w:p w:rsidR="00D5568E" w:rsidRDefault="00D5568E" w:rsidP="00D5568E">
      <w:pPr>
        <w:spacing w:line="360" w:lineRule="auto"/>
        <w:jc w:val="both"/>
        <w:rPr>
          <w:rFonts w:ascii="Times New Roman" w:hAnsi="Times New Roman" w:cs="Times New Roman"/>
          <w:sz w:val="24"/>
          <w:szCs w:val="24"/>
        </w:rPr>
      </w:pPr>
      <w:r>
        <w:rPr>
          <w:rFonts w:ascii="Times New Roman" w:hAnsi="Times New Roman" w:cs="Times New Roman"/>
          <w:sz w:val="24"/>
          <w:szCs w:val="24"/>
        </w:rPr>
        <w:t>Agra</w:t>
      </w:r>
      <w:r>
        <w:rPr>
          <w:rFonts w:ascii="Times New Roman" w:hAnsi="Times New Roman" w:cs="Times New Roman"/>
          <w:sz w:val="24"/>
          <w:szCs w:val="24"/>
        </w:rPr>
        <w:t xml:space="preserve">decemos a Universidade Estadual de Goiás e o Programa Institucional de Bolsas de Iniciação Científica PIBIC/CNPq. </w:t>
      </w:r>
    </w:p>
    <w:p w:rsidR="00D5568E" w:rsidRPr="00D5568E" w:rsidRDefault="00D5568E" w:rsidP="00D5568E">
      <w:pPr>
        <w:spacing w:line="360" w:lineRule="auto"/>
        <w:jc w:val="both"/>
        <w:rPr>
          <w:rFonts w:ascii="Times New Roman" w:eastAsia="Times New Roman" w:hAnsi="Times New Roman" w:cs="Times New Roman"/>
          <w:b/>
          <w:smallCaps/>
          <w:color w:val="000000"/>
          <w:sz w:val="20"/>
          <w:szCs w:val="20"/>
        </w:rPr>
      </w:pPr>
    </w:p>
    <w:p w:rsidR="00A078C8" w:rsidRDefault="00A078C8" w:rsidP="00A078C8">
      <w:pPr>
        <w:tabs>
          <w:tab w:val="center" w:pos="4536"/>
        </w:tabs>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R</w:t>
      </w:r>
      <w:r w:rsidRPr="006627A8">
        <w:rPr>
          <w:rFonts w:ascii="Times New Roman" w:eastAsia="Times New Roman" w:hAnsi="Times New Roman" w:cs="Times New Roman"/>
          <w:b/>
          <w:smallCaps/>
          <w:color w:val="1F497D" w:themeColor="text2"/>
          <w:sz w:val="24"/>
          <w:szCs w:val="24"/>
        </w:rPr>
        <w:t>EFERÊNCIAS</w:t>
      </w:r>
    </w:p>
    <w:p w:rsidR="00BA0D21" w:rsidRPr="00BA0D21" w:rsidRDefault="00BA0D21" w:rsidP="00BA0D21">
      <w:pPr>
        <w:rPr>
          <w:rFonts w:ascii="Times New Roman" w:hAnsi="Times New Roman" w:cs="Times New Roman"/>
        </w:rPr>
      </w:pPr>
      <w:r w:rsidRPr="00BA0D21">
        <w:rPr>
          <w:rFonts w:ascii="Times New Roman" w:hAnsi="Times New Roman" w:cs="Times New Roman"/>
        </w:rPr>
        <w:t xml:space="preserve">BRASIL, </w:t>
      </w:r>
      <w:r w:rsidRPr="00BA0D21">
        <w:rPr>
          <w:rFonts w:ascii="Times New Roman" w:hAnsi="Times New Roman" w:cs="Times New Roman"/>
          <w:b/>
        </w:rPr>
        <w:t>Constituição da República Federativa do Brasil</w:t>
      </w:r>
      <w:r w:rsidRPr="00BA0D21">
        <w:rPr>
          <w:rFonts w:ascii="Times New Roman" w:hAnsi="Times New Roman" w:cs="Times New Roman"/>
        </w:rPr>
        <w:t>. Brasília, 1988. Disponível em: &lt;</w:t>
      </w:r>
      <w:r w:rsidRPr="00BA0D21">
        <w:rPr>
          <w:rStyle w:val="Hyperlink"/>
          <w:rFonts w:ascii="Times New Roman" w:hAnsi="Times New Roman" w:cs="Times New Roman"/>
          <w:color w:val="000000" w:themeColor="text1"/>
        </w:rPr>
        <w:t>http://www.planalto.gov.br/ccivil_03/constituicao/constituicao.htm&gt;</w:t>
      </w:r>
      <w:r w:rsidRPr="00BA0D21">
        <w:rPr>
          <w:rFonts w:ascii="Times New Roman" w:hAnsi="Times New Roman" w:cs="Times New Roman"/>
          <w:color w:val="000000" w:themeColor="text1"/>
        </w:rPr>
        <w:t>.</w:t>
      </w:r>
      <w:r w:rsidRPr="00BA0D21">
        <w:rPr>
          <w:rFonts w:ascii="Times New Roman" w:hAnsi="Times New Roman" w:cs="Times New Roman"/>
        </w:rPr>
        <w:t xml:space="preserve"> Acesso em: out. 2020.</w:t>
      </w:r>
    </w:p>
    <w:p w:rsidR="00BA0D21" w:rsidRPr="00BA0D21" w:rsidRDefault="00BA0D21" w:rsidP="00BA0D21">
      <w:pPr>
        <w:rPr>
          <w:rFonts w:ascii="Times New Roman" w:hAnsi="Times New Roman" w:cs="Times New Roman"/>
        </w:rPr>
      </w:pPr>
    </w:p>
    <w:p w:rsidR="00BA0D21" w:rsidRDefault="00BA0D21" w:rsidP="00BA0D21">
      <w:pPr>
        <w:rPr>
          <w:rFonts w:ascii="Times New Roman" w:hAnsi="Times New Roman" w:cs="Times New Roman"/>
        </w:rPr>
      </w:pPr>
      <w:r w:rsidRPr="00BA0D21">
        <w:rPr>
          <w:rFonts w:ascii="Times New Roman" w:hAnsi="Times New Roman" w:cs="Times New Roman"/>
        </w:rPr>
        <w:t>______. Lei 9.985 de 18 de julho de 2000.</w:t>
      </w:r>
      <w:r w:rsidRPr="00BA0D21">
        <w:rPr>
          <w:rFonts w:ascii="Times New Roman" w:hAnsi="Times New Roman" w:cs="Times New Roman"/>
          <w:b/>
        </w:rPr>
        <w:t xml:space="preserve"> Institui o sistema nacional de unidades de conservação da natureza. </w:t>
      </w:r>
      <w:r w:rsidRPr="00BA0D21">
        <w:rPr>
          <w:rFonts w:ascii="Times New Roman" w:hAnsi="Times New Roman" w:cs="Times New Roman"/>
        </w:rPr>
        <w:t>Brasília, DF, jul. 2000. Disponível em: &lt;http://www.planalto.gov.br/ccivil_03/leis/l9985.htm&gt;. Acesso em: 10 out. 2020.</w:t>
      </w:r>
    </w:p>
    <w:p w:rsidR="00D5568E" w:rsidRPr="00BA0D21" w:rsidRDefault="00D5568E" w:rsidP="00BA0D21">
      <w:pPr>
        <w:rPr>
          <w:rFonts w:ascii="Times New Roman" w:hAnsi="Times New Roman" w:cs="Times New Roman"/>
        </w:rPr>
      </w:pPr>
    </w:p>
    <w:p w:rsidR="00BA0D21" w:rsidRPr="00BA0D21" w:rsidRDefault="00BA0D21" w:rsidP="00BA0D21">
      <w:pPr>
        <w:rPr>
          <w:rFonts w:ascii="Times New Roman" w:hAnsi="Times New Roman" w:cs="Times New Roman"/>
        </w:rPr>
      </w:pPr>
      <w:r w:rsidRPr="00BA0D21">
        <w:rPr>
          <w:rFonts w:ascii="Times New Roman" w:hAnsi="Times New Roman" w:cs="Times New Roman"/>
        </w:rPr>
        <w:t xml:space="preserve">CNRPPN. Confederação Nacional de Reservas Particulares do Patrimônio Natural. </w:t>
      </w:r>
      <w:r w:rsidRPr="00BA0D21">
        <w:rPr>
          <w:rFonts w:ascii="Times New Roman" w:hAnsi="Times New Roman" w:cs="Times New Roman"/>
          <w:b/>
        </w:rPr>
        <w:t xml:space="preserve">Painel de </w:t>
      </w:r>
      <w:r w:rsidRPr="00BA0D21">
        <w:rPr>
          <w:rFonts w:ascii="Times New Roman" w:hAnsi="Times New Roman" w:cs="Times New Roman"/>
          <w:b/>
        </w:rPr>
        <w:lastRenderedPageBreak/>
        <w:t>indicadores da CNRPPN</w:t>
      </w:r>
      <w:r w:rsidRPr="00BA0D21">
        <w:rPr>
          <w:rFonts w:ascii="Times New Roman" w:hAnsi="Times New Roman" w:cs="Times New Roman"/>
        </w:rPr>
        <w:t xml:space="preserve">.  Disponível em: &lt;https://datastudio.google.com/u/0/reporting/0B_Gpf05aV2RrNHRvR3kwX2ppSUE/page/ldr1B&gt;Acesso em 26 jun. 2021. </w:t>
      </w:r>
    </w:p>
    <w:p w:rsidR="00BA0D21" w:rsidRPr="00BA0D21" w:rsidRDefault="00BA0D21" w:rsidP="00BA0D21">
      <w:pPr>
        <w:rPr>
          <w:rFonts w:ascii="Times New Roman" w:hAnsi="Times New Roman" w:cs="Times New Roman"/>
        </w:rPr>
      </w:pPr>
    </w:p>
    <w:p w:rsidR="00BA0D21" w:rsidRPr="00BA0D21" w:rsidRDefault="00BA0D21" w:rsidP="00BA0D21">
      <w:pPr>
        <w:pStyle w:val="Textodenotaderodap"/>
        <w:rPr>
          <w:rFonts w:ascii="Times New Roman" w:hAnsi="Times New Roman" w:cs="Times New Roman"/>
          <w:sz w:val="22"/>
          <w:szCs w:val="22"/>
        </w:rPr>
      </w:pPr>
      <w:r w:rsidRPr="00BA0D21">
        <w:rPr>
          <w:rFonts w:ascii="Times New Roman" w:hAnsi="Times New Roman" w:cs="Times New Roman"/>
          <w:sz w:val="22"/>
          <w:szCs w:val="22"/>
        </w:rPr>
        <w:t xml:space="preserve">GOIAS. </w:t>
      </w:r>
      <w:r w:rsidRPr="00BA0D21">
        <w:rPr>
          <w:rFonts w:ascii="Times New Roman" w:hAnsi="Times New Roman" w:cs="Times New Roman"/>
          <w:b/>
          <w:sz w:val="22"/>
          <w:szCs w:val="22"/>
        </w:rPr>
        <w:t>Constituição do estado de Goiás</w:t>
      </w:r>
      <w:r w:rsidRPr="00BA0D21">
        <w:rPr>
          <w:rFonts w:ascii="Times New Roman" w:hAnsi="Times New Roman" w:cs="Times New Roman"/>
          <w:sz w:val="22"/>
          <w:szCs w:val="22"/>
        </w:rPr>
        <w:t>. Goiânia, 1989. Disponível em: &lt;http://www.gabinetecivil.goias.gov.br/constituicoes/constituicao_1988.htm&gt;. Acesso em: 21 dez. 2020.</w:t>
      </w:r>
    </w:p>
    <w:p w:rsidR="00BA0D21" w:rsidRPr="00BA0D21" w:rsidRDefault="00BA0D21" w:rsidP="00BA0D21">
      <w:pPr>
        <w:pStyle w:val="Textodenotaderodap"/>
        <w:rPr>
          <w:rFonts w:ascii="Times New Roman" w:hAnsi="Times New Roman" w:cs="Times New Roman"/>
          <w:sz w:val="22"/>
          <w:szCs w:val="22"/>
        </w:rPr>
      </w:pPr>
    </w:p>
    <w:p w:rsidR="001211C4" w:rsidRPr="001211C4" w:rsidRDefault="00BA0D21" w:rsidP="00BA0D21">
      <w:pPr>
        <w:pStyle w:val="Textodenotaderodap"/>
        <w:rPr>
          <w:rFonts w:ascii="Times New Roman" w:hAnsi="Times New Roman" w:cs="Times New Roman"/>
          <w:sz w:val="22"/>
          <w:szCs w:val="22"/>
        </w:rPr>
      </w:pPr>
      <w:r w:rsidRPr="00BA0D21">
        <w:rPr>
          <w:rFonts w:ascii="Times New Roman" w:hAnsi="Times New Roman" w:cs="Times New Roman"/>
          <w:sz w:val="22"/>
          <w:szCs w:val="22"/>
        </w:rPr>
        <w:t xml:space="preserve">______. </w:t>
      </w:r>
      <w:proofErr w:type="gramStart"/>
      <w:r w:rsidRPr="00BA0D21">
        <w:rPr>
          <w:rFonts w:ascii="Times New Roman" w:hAnsi="Times New Roman" w:cs="Times New Roman"/>
          <w:sz w:val="22"/>
          <w:szCs w:val="22"/>
        </w:rPr>
        <w:t>Lei Complementar</w:t>
      </w:r>
      <w:proofErr w:type="gramEnd"/>
      <w:r w:rsidRPr="00BA0D21">
        <w:rPr>
          <w:rFonts w:ascii="Times New Roman" w:hAnsi="Times New Roman" w:cs="Times New Roman"/>
          <w:sz w:val="22"/>
          <w:szCs w:val="22"/>
        </w:rPr>
        <w:t xml:space="preserve"> 90 de 22 de dezembro de </w:t>
      </w:r>
      <w:r w:rsidRPr="001211C4">
        <w:rPr>
          <w:rFonts w:ascii="Times New Roman" w:hAnsi="Times New Roman" w:cs="Times New Roman"/>
          <w:sz w:val="22"/>
          <w:szCs w:val="22"/>
        </w:rPr>
        <w:t xml:space="preserve">2011. </w:t>
      </w:r>
      <w:hyperlink r:id="rId17" w:tgtFrame="_self" w:history="1">
        <w:r w:rsidRPr="001211C4">
          <w:rPr>
            <w:rStyle w:val="Hyperlink"/>
            <w:rFonts w:ascii="Times New Roman" w:hAnsi="Times New Roman" w:cs="Times New Roman"/>
            <w:b/>
            <w:color w:val="auto"/>
            <w:sz w:val="22"/>
            <w:szCs w:val="22"/>
            <w:u w:val="none"/>
          </w:rPr>
          <w:t>Regulamenta o disposto no inciso III do § 1º do art. 107 da Constituição Estadual</w:t>
        </w:r>
        <w:r w:rsidRPr="001211C4">
          <w:rPr>
            <w:rStyle w:val="Hyperlink"/>
            <w:rFonts w:ascii="Times New Roman" w:hAnsi="Times New Roman" w:cs="Times New Roman"/>
            <w:color w:val="auto"/>
            <w:sz w:val="22"/>
            <w:szCs w:val="22"/>
            <w:u w:val="none"/>
          </w:rPr>
          <w:t xml:space="preserve">. </w:t>
        </w:r>
      </w:hyperlink>
      <w:r w:rsidR="001211C4" w:rsidRPr="001211C4">
        <w:rPr>
          <w:rFonts w:ascii="Times New Roman" w:hAnsi="Times New Roman" w:cs="Times New Roman"/>
          <w:sz w:val="22"/>
          <w:szCs w:val="22"/>
        </w:rPr>
        <w:t xml:space="preserve"> Disponível em: &lt;</w:t>
      </w:r>
      <w:hyperlink r:id="rId18" w:history="1">
        <w:r w:rsidR="001211C4" w:rsidRPr="001211C4">
          <w:rPr>
            <w:rStyle w:val="Hyperlink"/>
            <w:rFonts w:ascii="Times New Roman" w:hAnsi="Times New Roman" w:cs="Times New Roman"/>
            <w:color w:val="auto"/>
            <w:sz w:val="22"/>
            <w:szCs w:val="22"/>
            <w:u w:val="none"/>
          </w:rPr>
          <w:t>http://www.gabinetecivil.goias.gov.br/leis_complementares/2011/lei_complementar_n090.htm</w:t>
        </w:r>
      </w:hyperlink>
      <w:r w:rsidR="001211C4" w:rsidRPr="001211C4">
        <w:rPr>
          <w:rStyle w:val="Hyperlink"/>
          <w:rFonts w:ascii="Times New Roman" w:hAnsi="Times New Roman" w:cs="Times New Roman"/>
          <w:color w:val="auto"/>
          <w:sz w:val="22"/>
          <w:szCs w:val="22"/>
          <w:u w:val="none"/>
        </w:rPr>
        <w:t>&gt;. Acesso em 21 dez. 2020.</w:t>
      </w:r>
    </w:p>
    <w:p w:rsidR="00BA0D21" w:rsidRPr="00BA0D21" w:rsidRDefault="00BA0D21" w:rsidP="00BA0D21">
      <w:pPr>
        <w:pStyle w:val="Textodenotaderodap"/>
        <w:rPr>
          <w:rFonts w:ascii="Times New Roman" w:hAnsi="Times New Roman" w:cs="Times New Roman"/>
          <w:sz w:val="22"/>
          <w:szCs w:val="22"/>
        </w:rPr>
      </w:pPr>
    </w:p>
    <w:p w:rsidR="00BA0D21" w:rsidRPr="00BA0D21" w:rsidRDefault="00BA0D21" w:rsidP="00BA0D21">
      <w:pPr>
        <w:pStyle w:val="Textodenotaderodap"/>
        <w:rPr>
          <w:rFonts w:ascii="Times New Roman" w:hAnsi="Times New Roman" w:cs="Times New Roman"/>
          <w:sz w:val="22"/>
          <w:szCs w:val="22"/>
        </w:rPr>
      </w:pPr>
      <w:r w:rsidRPr="00BA0D21">
        <w:rPr>
          <w:rFonts w:ascii="Times New Roman" w:hAnsi="Times New Roman" w:cs="Times New Roman"/>
          <w:sz w:val="22"/>
          <w:szCs w:val="22"/>
        </w:rPr>
        <w:t>______. Decreto 7.665 de 03 de julho de 2012.</w:t>
      </w:r>
      <w:r w:rsidRPr="00BA0D21">
        <w:rPr>
          <w:rFonts w:ascii="Times New Roman" w:hAnsi="Times New Roman" w:cs="Times New Roman"/>
          <w:b/>
          <w:sz w:val="22"/>
          <w:szCs w:val="22"/>
        </w:rPr>
        <w:t xml:space="preserve"> Institui o Programa Estadual de Apoio a Reservas Particulares do Patrimônio Natural. </w:t>
      </w:r>
      <w:r w:rsidRPr="00BA0D21">
        <w:rPr>
          <w:rFonts w:ascii="Times New Roman" w:hAnsi="Times New Roman" w:cs="Times New Roman"/>
          <w:sz w:val="22"/>
          <w:szCs w:val="22"/>
        </w:rPr>
        <w:t>Goiânia, 2012. Disponível em: &lt;https://legisla.casacivil.go.gov.br/pesquisa_legislacao/65654/decreto-7665&gt;. Acesso em: 21 dez. 2020.</w:t>
      </w:r>
    </w:p>
    <w:p w:rsidR="00BA0D21" w:rsidRPr="00BA0D21" w:rsidRDefault="00BA0D21" w:rsidP="00BA0D21">
      <w:pPr>
        <w:pStyle w:val="Textodenotaderodap"/>
        <w:rPr>
          <w:rFonts w:ascii="Times New Roman" w:hAnsi="Times New Roman" w:cs="Times New Roman"/>
          <w:sz w:val="22"/>
          <w:szCs w:val="22"/>
        </w:rPr>
      </w:pPr>
    </w:p>
    <w:p w:rsidR="00BA0D21" w:rsidRDefault="00BA0D21" w:rsidP="00BA0D21">
      <w:pPr>
        <w:pStyle w:val="Textodenotaderodap"/>
        <w:rPr>
          <w:rFonts w:ascii="Times New Roman" w:hAnsi="Times New Roman" w:cs="Times New Roman"/>
          <w:sz w:val="22"/>
          <w:szCs w:val="22"/>
        </w:rPr>
      </w:pPr>
      <w:r w:rsidRPr="00BA0D21">
        <w:rPr>
          <w:rFonts w:ascii="Times New Roman" w:hAnsi="Times New Roman" w:cs="Times New Roman"/>
          <w:sz w:val="22"/>
          <w:szCs w:val="22"/>
        </w:rPr>
        <w:t xml:space="preserve">______. Secretaria do Meio Ambiente e Desenvolvimento Sustentável. </w:t>
      </w:r>
      <w:r w:rsidRPr="00BA0D21">
        <w:rPr>
          <w:rFonts w:ascii="Times New Roman" w:hAnsi="Times New Roman" w:cs="Times New Roman"/>
          <w:b/>
          <w:sz w:val="22"/>
          <w:szCs w:val="22"/>
        </w:rPr>
        <w:t xml:space="preserve">Ofício 2515/2020. </w:t>
      </w:r>
      <w:r w:rsidRPr="00BA0D21">
        <w:rPr>
          <w:rFonts w:ascii="Times New Roman" w:hAnsi="Times New Roman" w:cs="Times New Roman"/>
          <w:sz w:val="22"/>
          <w:szCs w:val="22"/>
        </w:rPr>
        <w:t xml:space="preserve">Goiânia, 2020. Disponível em: &lt;https://www.economia.go.gov.br/files/coindice/2020/IPM-2020/Lista140720.pdf&gt;. Acesso em 26 jun. 2021. </w:t>
      </w:r>
    </w:p>
    <w:p w:rsidR="001211C4" w:rsidRPr="00BA0D21" w:rsidRDefault="001211C4" w:rsidP="00BA0D21">
      <w:pPr>
        <w:pStyle w:val="Textodenotaderodap"/>
        <w:rPr>
          <w:rFonts w:ascii="Times New Roman" w:hAnsi="Times New Roman" w:cs="Times New Roman"/>
          <w:sz w:val="22"/>
          <w:szCs w:val="22"/>
        </w:rPr>
      </w:pPr>
      <w:bookmarkStart w:id="0" w:name="_GoBack"/>
      <w:bookmarkEnd w:id="0"/>
    </w:p>
    <w:p w:rsidR="00BA0D21" w:rsidRPr="00BA0D21" w:rsidRDefault="00BA0D21" w:rsidP="00BA0D21">
      <w:pPr>
        <w:pStyle w:val="Textodenotaderodap"/>
        <w:rPr>
          <w:rFonts w:ascii="Times New Roman" w:hAnsi="Times New Roman" w:cs="Times New Roman"/>
          <w:sz w:val="22"/>
          <w:szCs w:val="22"/>
        </w:rPr>
      </w:pPr>
      <w:r w:rsidRPr="00BA0D21">
        <w:rPr>
          <w:rFonts w:ascii="Times New Roman" w:hAnsi="Times New Roman" w:cs="Times New Roman"/>
          <w:sz w:val="22"/>
          <w:szCs w:val="22"/>
        </w:rPr>
        <w:t xml:space="preserve">______. Secretaria de Estado da Economia. </w:t>
      </w:r>
      <w:r w:rsidRPr="00BA0D21">
        <w:rPr>
          <w:rFonts w:ascii="Times New Roman" w:hAnsi="Times New Roman" w:cs="Times New Roman"/>
          <w:b/>
          <w:sz w:val="22"/>
          <w:szCs w:val="22"/>
        </w:rPr>
        <w:t>Download dos relatórios IPM</w:t>
      </w:r>
      <w:r w:rsidRPr="00BA0D21">
        <w:rPr>
          <w:rFonts w:ascii="Times New Roman" w:hAnsi="Times New Roman" w:cs="Times New Roman"/>
          <w:sz w:val="22"/>
          <w:szCs w:val="22"/>
        </w:rPr>
        <w:t>. Goiânia, 2020. Disponível em: &lt;https://www.economia.go.gov.br/acesso-a-informacao/121-indice-de-participacao-dos-municipios/4027-download-dos-relatorios-do-ipm&gt;. Acesso em dez. 2020.</w:t>
      </w:r>
    </w:p>
    <w:p w:rsidR="00BA0D21" w:rsidRPr="00BA0D21" w:rsidRDefault="00BA0D21" w:rsidP="00BA0D21">
      <w:pPr>
        <w:pStyle w:val="Textodenotaderodap"/>
        <w:rPr>
          <w:rFonts w:ascii="Times New Roman" w:hAnsi="Times New Roman" w:cs="Times New Roman"/>
          <w:sz w:val="22"/>
          <w:szCs w:val="22"/>
        </w:rPr>
      </w:pPr>
    </w:p>
    <w:p w:rsidR="00BA0D21" w:rsidRPr="00BA0D21" w:rsidRDefault="00BA0D21" w:rsidP="00BA0D21">
      <w:pPr>
        <w:pStyle w:val="Textodenotaderodap"/>
        <w:rPr>
          <w:rFonts w:ascii="Times New Roman" w:hAnsi="Times New Roman" w:cs="Times New Roman"/>
          <w:sz w:val="22"/>
          <w:szCs w:val="22"/>
        </w:rPr>
      </w:pPr>
      <w:r w:rsidRPr="00BA0D21">
        <w:rPr>
          <w:rFonts w:ascii="Times New Roman" w:hAnsi="Times New Roman" w:cs="Times New Roman"/>
          <w:sz w:val="22"/>
          <w:szCs w:val="22"/>
        </w:rPr>
        <w:t xml:space="preserve">______. Secretaria de Estado da Economia. </w:t>
      </w:r>
      <w:r w:rsidRPr="00BA0D21">
        <w:rPr>
          <w:rFonts w:ascii="Times New Roman" w:hAnsi="Times New Roman" w:cs="Times New Roman"/>
          <w:b/>
          <w:sz w:val="22"/>
          <w:szCs w:val="22"/>
        </w:rPr>
        <w:t>Repasse aos Municípios</w:t>
      </w:r>
      <w:r w:rsidRPr="00BA0D21">
        <w:rPr>
          <w:rFonts w:ascii="Times New Roman" w:hAnsi="Times New Roman" w:cs="Times New Roman"/>
          <w:sz w:val="22"/>
          <w:szCs w:val="22"/>
        </w:rPr>
        <w:t xml:space="preserve">. Goiânia, 2021. Disponível em: &lt;https://www.economia.go.gov.br/tesouro-estadual/repasses-de-recursos-aos-municipios.html&gt;. Acesso em 26 jun. 2021.  </w:t>
      </w:r>
    </w:p>
    <w:p w:rsidR="00BA0D21" w:rsidRPr="00BA0D21" w:rsidRDefault="00BA0D21" w:rsidP="00BA0D21">
      <w:pPr>
        <w:rPr>
          <w:rFonts w:ascii="Times New Roman" w:hAnsi="Times New Roman" w:cs="Times New Roman"/>
        </w:rPr>
      </w:pPr>
    </w:p>
    <w:p w:rsidR="00BA0D21" w:rsidRPr="00BA0D21" w:rsidRDefault="00BA0D21" w:rsidP="00BA0D21">
      <w:pPr>
        <w:rPr>
          <w:rFonts w:ascii="Times New Roman" w:eastAsia="Times New Roman" w:hAnsi="Times New Roman" w:cs="Times New Roman"/>
        </w:rPr>
      </w:pPr>
      <w:r w:rsidRPr="00BA0D21">
        <w:rPr>
          <w:rFonts w:ascii="Times New Roman" w:eastAsia="Times New Roman" w:hAnsi="Times New Roman" w:cs="Times New Roman"/>
        </w:rPr>
        <w:t xml:space="preserve">IBGE. Instituto Brasileiro de Geografia e Estatística. </w:t>
      </w:r>
      <w:r w:rsidRPr="00BA0D21">
        <w:rPr>
          <w:rFonts w:ascii="Times New Roman" w:eastAsia="Times New Roman" w:hAnsi="Times New Roman" w:cs="Times New Roman"/>
          <w:b/>
        </w:rPr>
        <w:t xml:space="preserve">Cidades. </w:t>
      </w:r>
      <w:r w:rsidRPr="00BA0D21">
        <w:rPr>
          <w:rFonts w:ascii="Times New Roman" w:eastAsia="Times New Roman" w:hAnsi="Times New Roman" w:cs="Times New Roman"/>
        </w:rPr>
        <w:t>Brasil, 2020. Disponível em: &lt;https://cidades.ibge.gov.br&gt; Acesso em: 13 out. 2020.</w:t>
      </w:r>
    </w:p>
    <w:p w:rsidR="00BA0D21" w:rsidRPr="00BA0D21" w:rsidRDefault="00BA0D21" w:rsidP="00BA0D21">
      <w:pPr>
        <w:rPr>
          <w:rFonts w:ascii="Times New Roman" w:eastAsia="Times New Roman" w:hAnsi="Times New Roman" w:cs="Times New Roman"/>
        </w:rPr>
      </w:pPr>
    </w:p>
    <w:p w:rsidR="00BA0D21" w:rsidRPr="00BA0D21" w:rsidRDefault="00BA0D21" w:rsidP="00BA0D21">
      <w:pPr>
        <w:rPr>
          <w:rFonts w:ascii="Times New Roman" w:hAnsi="Times New Roman" w:cs="Times New Roman"/>
        </w:rPr>
      </w:pPr>
      <w:r w:rsidRPr="00BA0D21">
        <w:rPr>
          <w:rFonts w:ascii="Times New Roman" w:hAnsi="Times New Roman" w:cs="Times New Roman"/>
        </w:rPr>
        <w:t xml:space="preserve">ICM-BIO. Instituto Chico Mendes de Preservação da Biodiversidade. </w:t>
      </w:r>
      <w:r w:rsidRPr="00BA0D21">
        <w:rPr>
          <w:rFonts w:ascii="Times New Roman" w:hAnsi="Times New Roman" w:cs="Times New Roman"/>
          <w:b/>
        </w:rPr>
        <w:t xml:space="preserve">Sistema informatizado de monitoria de RPPN. </w:t>
      </w:r>
      <w:r w:rsidRPr="00BA0D21">
        <w:rPr>
          <w:rFonts w:ascii="Times New Roman" w:hAnsi="Times New Roman" w:cs="Times New Roman"/>
        </w:rPr>
        <w:t>Brasília, 2020. Disponível em: &lt;http://sistemas.icmbio.gov.br/simrppn/publico/rppn/GO/&gt;. Acesso em: 26 jun. 2021.</w:t>
      </w:r>
    </w:p>
    <w:p w:rsidR="00BA0D21" w:rsidRPr="00BA0D21" w:rsidRDefault="00BA0D21" w:rsidP="00BA0D21">
      <w:pPr>
        <w:rPr>
          <w:rFonts w:ascii="Times New Roman" w:hAnsi="Times New Roman" w:cs="Times New Roman"/>
        </w:rPr>
      </w:pPr>
    </w:p>
    <w:p w:rsidR="00BA0D21" w:rsidRPr="00BA0D21" w:rsidRDefault="00BA0D21" w:rsidP="00BA0D21">
      <w:pPr>
        <w:rPr>
          <w:rFonts w:ascii="Times New Roman" w:hAnsi="Times New Roman" w:cs="Times New Roman"/>
        </w:rPr>
      </w:pPr>
      <w:r w:rsidRPr="00BA0D21">
        <w:rPr>
          <w:rFonts w:ascii="Times New Roman" w:hAnsi="Times New Roman" w:cs="Times New Roman"/>
        </w:rPr>
        <w:t xml:space="preserve">IMB. Instituto Mauro Borges. </w:t>
      </w:r>
      <w:r w:rsidRPr="00BA0D21">
        <w:rPr>
          <w:rFonts w:ascii="Times New Roman" w:hAnsi="Times New Roman" w:cs="Times New Roman"/>
          <w:b/>
        </w:rPr>
        <w:t xml:space="preserve">Banco de dados estatísticos de Goiás. </w:t>
      </w:r>
      <w:r w:rsidRPr="00BA0D21">
        <w:rPr>
          <w:rFonts w:ascii="Times New Roman" w:hAnsi="Times New Roman" w:cs="Times New Roman"/>
        </w:rPr>
        <w:t xml:space="preserve">Goiânia, 2021. Disponível em: &lt; https://www.imb.go.gov.br/bde/&gt;. Acesso em 27 jun. 2021. </w:t>
      </w:r>
    </w:p>
    <w:p w:rsidR="00BA0D21" w:rsidRPr="00BA0D21" w:rsidRDefault="00BA0D21" w:rsidP="00BA0D21">
      <w:pPr>
        <w:rPr>
          <w:rFonts w:ascii="Times New Roman" w:hAnsi="Times New Roman" w:cs="Times New Roman"/>
        </w:rPr>
      </w:pPr>
    </w:p>
    <w:p w:rsidR="00BA0D21" w:rsidRPr="00BA0D21" w:rsidRDefault="00BA0D21" w:rsidP="00BA0D21">
      <w:pPr>
        <w:rPr>
          <w:rFonts w:ascii="Times New Roman" w:hAnsi="Times New Roman" w:cs="Times New Roman"/>
        </w:rPr>
      </w:pPr>
      <w:r w:rsidRPr="00BA0D21">
        <w:rPr>
          <w:rFonts w:ascii="Times New Roman" w:hAnsi="Times New Roman" w:cs="Times New Roman"/>
        </w:rPr>
        <w:t xml:space="preserve">MONSORES. José Luiz. Análise do instrumento econômico municipal de incentivo à conservação voluntária em terras privadas: o caso do repasse do ICMS ecológico às </w:t>
      </w:r>
      <w:proofErr w:type="spellStart"/>
      <w:r w:rsidRPr="00BA0D21">
        <w:rPr>
          <w:rFonts w:ascii="Times New Roman" w:hAnsi="Times New Roman" w:cs="Times New Roman"/>
        </w:rPr>
        <w:t>RPPNs</w:t>
      </w:r>
      <w:proofErr w:type="spellEnd"/>
      <w:r w:rsidRPr="00BA0D21">
        <w:rPr>
          <w:rFonts w:ascii="Times New Roman" w:hAnsi="Times New Roman" w:cs="Times New Roman"/>
        </w:rPr>
        <w:t xml:space="preserve"> no estado do Rio de Janeiro. In: GUAGLIARDI, Roberta (org.). </w:t>
      </w:r>
      <w:r w:rsidRPr="00BA0D21">
        <w:rPr>
          <w:rFonts w:ascii="Times New Roman" w:hAnsi="Times New Roman" w:cs="Times New Roman"/>
          <w:b/>
        </w:rPr>
        <w:t>Programa estadual de reservas particulares do patrimônio natural (</w:t>
      </w:r>
      <w:proofErr w:type="spellStart"/>
      <w:r w:rsidRPr="00BA0D21">
        <w:rPr>
          <w:rFonts w:ascii="Times New Roman" w:hAnsi="Times New Roman" w:cs="Times New Roman"/>
          <w:b/>
        </w:rPr>
        <w:t>RPPNs</w:t>
      </w:r>
      <w:proofErr w:type="spellEnd"/>
      <w:r w:rsidRPr="00BA0D21">
        <w:rPr>
          <w:rFonts w:ascii="Times New Roman" w:hAnsi="Times New Roman" w:cs="Times New Roman"/>
          <w:b/>
        </w:rPr>
        <w:t xml:space="preserve">): </w:t>
      </w:r>
      <w:r w:rsidRPr="00BA0D21">
        <w:rPr>
          <w:rFonts w:ascii="Times New Roman" w:hAnsi="Times New Roman" w:cs="Times New Roman"/>
        </w:rPr>
        <w:t>10 anos de apoio à conservação da biodiversidade. Rio de Janeiro: Instituto Estadual do Ambiente, 2018.</w:t>
      </w:r>
    </w:p>
    <w:p w:rsidR="00BA0D21" w:rsidRPr="00BA0D21" w:rsidRDefault="00BA0D21" w:rsidP="00BA0D21">
      <w:pPr>
        <w:rPr>
          <w:rFonts w:ascii="Times New Roman" w:hAnsi="Times New Roman" w:cs="Times New Roman"/>
        </w:rPr>
      </w:pPr>
    </w:p>
    <w:p w:rsidR="00BA0D21" w:rsidRPr="00BA0D21" w:rsidRDefault="00BA0D21" w:rsidP="00BA0D21">
      <w:pPr>
        <w:rPr>
          <w:rFonts w:ascii="Times New Roman" w:hAnsi="Times New Roman" w:cs="Times New Roman"/>
        </w:rPr>
      </w:pPr>
      <w:r w:rsidRPr="00BA0D21">
        <w:rPr>
          <w:rFonts w:ascii="Times New Roman" w:hAnsi="Times New Roman" w:cs="Times New Roman"/>
        </w:rPr>
        <w:t xml:space="preserve">NETO, Isaac Simão. </w:t>
      </w:r>
      <w:r w:rsidRPr="00BA0D21">
        <w:rPr>
          <w:rFonts w:ascii="Times New Roman" w:hAnsi="Times New Roman" w:cs="Times New Roman"/>
          <w:b/>
        </w:rPr>
        <w:t>Análise da efetividade das reservas particulares do patrimônio natural (RPPNS) de âmbito federal em Santa Catarina</w:t>
      </w:r>
      <w:r w:rsidRPr="00BA0D21">
        <w:rPr>
          <w:rFonts w:ascii="Times New Roman" w:hAnsi="Times New Roman" w:cs="Times New Roman"/>
        </w:rPr>
        <w:t xml:space="preserve">. Dissertação (Mestrado em Planejamento Territorial e Desenvolvimento Socioambiental). Florianópolis: Universidade Federal de Santa </w:t>
      </w:r>
      <w:proofErr w:type="spellStart"/>
      <w:r w:rsidRPr="00BA0D21">
        <w:rPr>
          <w:rFonts w:ascii="Times New Roman" w:hAnsi="Times New Roman" w:cs="Times New Roman"/>
        </w:rPr>
        <w:lastRenderedPageBreak/>
        <w:t>Catarian</w:t>
      </w:r>
      <w:proofErr w:type="spellEnd"/>
      <w:r w:rsidRPr="00BA0D21">
        <w:rPr>
          <w:rFonts w:ascii="Times New Roman" w:hAnsi="Times New Roman" w:cs="Times New Roman"/>
        </w:rPr>
        <w:t>, 2017. Disponível em: &lt; https://sistemabu.udesc.br/pergamumweb/vinculos/00004f/00004fe3.pdf &gt;. Acesso em 20 out. 2020.</w:t>
      </w:r>
    </w:p>
    <w:p w:rsidR="00BA0D21" w:rsidRPr="00BA0D21" w:rsidRDefault="00BA0D21" w:rsidP="00BA0D21">
      <w:pPr>
        <w:rPr>
          <w:rFonts w:ascii="Times New Roman" w:hAnsi="Times New Roman" w:cs="Times New Roman"/>
        </w:rPr>
      </w:pPr>
    </w:p>
    <w:p w:rsidR="00BA0D21" w:rsidRPr="00BA0D21" w:rsidRDefault="00BA0D21" w:rsidP="00BA0D21">
      <w:pPr>
        <w:rPr>
          <w:rFonts w:ascii="Times New Roman" w:hAnsi="Times New Roman" w:cs="Times New Roman"/>
        </w:rPr>
      </w:pPr>
      <w:r w:rsidRPr="00BA0D21">
        <w:rPr>
          <w:rFonts w:ascii="Times New Roman" w:hAnsi="Times New Roman" w:cs="Times New Roman"/>
        </w:rPr>
        <w:t xml:space="preserve">OJIDOS, Flávio; PADUA, Cláudio </w:t>
      </w:r>
      <w:proofErr w:type="spellStart"/>
      <w:r w:rsidRPr="00BA0D21">
        <w:rPr>
          <w:rFonts w:ascii="Times New Roman" w:hAnsi="Times New Roman" w:cs="Times New Roman"/>
        </w:rPr>
        <w:t>Valladares</w:t>
      </w:r>
      <w:proofErr w:type="spellEnd"/>
      <w:r w:rsidRPr="00BA0D21">
        <w:rPr>
          <w:rFonts w:ascii="Times New Roman" w:hAnsi="Times New Roman" w:cs="Times New Roman"/>
        </w:rPr>
        <w:t xml:space="preserve">; PELLIN, </w:t>
      </w:r>
      <w:proofErr w:type="spellStart"/>
      <w:r w:rsidRPr="00BA0D21">
        <w:rPr>
          <w:rFonts w:ascii="Times New Roman" w:hAnsi="Times New Roman" w:cs="Times New Roman"/>
        </w:rPr>
        <w:t>Angela</w:t>
      </w:r>
      <w:proofErr w:type="spellEnd"/>
      <w:r w:rsidRPr="00BA0D21">
        <w:rPr>
          <w:rFonts w:ascii="Times New Roman" w:hAnsi="Times New Roman" w:cs="Times New Roman"/>
        </w:rPr>
        <w:t xml:space="preserve">. </w:t>
      </w:r>
      <w:r w:rsidRPr="00BA0D21">
        <w:rPr>
          <w:rFonts w:ascii="Times New Roman" w:hAnsi="Times New Roman" w:cs="Times New Roman"/>
          <w:b/>
        </w:rPr>
        <w:t xml:space="preserve">Conservação em ciclo contínuo: </w:t>
      </w:r>
      <w:r w:rsidRPr="00BA0D21">
        <w:rPr>
          <w:rFonts w:ascii="Times New Roman" w:hAnsi="Times New Roman" w:cs="Times New Roman"/>
        </w:rPr>
        <w:t xml:space="preserve">como gerar recursos com a natureza e garantir a sustentabilidade financeira de </w:t>
      </w:r>
      <w:proofErr w:type="spellStart"/>
      <w:r w:rsidRPr="00BA0D21">
        <w:rPr>
          <w:rFonts w:ascii="Times New Roman" w:hAnsi="Times New Roman" w:cs="Times New Roman"/>
        </w:rPr>
        <w:t>RPPNs</w:t>
      </w:r>
      <w:proofErr w:type="spellEnd"/>
      <w:r w:rsidRPr="00BA0D21">
        <w:rPr>
          <w:rFonts w:ascii="Times New Roman" w:hAnsi="Times New Roman" w:cs="Times New Roman"/>
        </w:rPr>
        <w:t xml:space="preserve">. São Paulo: </w:t>
      </w:r>
      <w:proofErr w:type="spellStart"/>
      <w:r w:rsidRPr="00BA0D21">
        <w:rPr>
          <w:rFonts w:ascii="Times New Roman" w:hAnsi="Times New Roman" w:cs="Times New Roman"/>
        </w:rPr>
        <w:t>Essential</w:t>
      </w:r>
      <w:proofErr w:type="spellEnd"/>
      <w:r w:rsidRPr="00BA0D21">
        <w:rPr>
          <w:rFonts w:ascii="Times New Roman" w:hAnsi="Times New Roman" w:cs="Times New Roman"/>
        </w:rPr>
        <w:t xml:space="preserve"> Idea Editora, 2018. </w:t>
      </w:r>
    </w:p>
    <w:p w:rsidR="00BA0D21" w:rsidRPr="00BA0D21" w:rsidRDefault="00BA0D21" w:rsidP="00BA0D21">
      <w:pPr>
        <w:rPr>
          <w:rFonts w:ascii="Times New Roman" w:hAnsi="Times New Roman" w:cs="Times New Roman"/>
        </w:rPr>
      </w:pPr>
    </w:p>
    <w:p w:rsidR="00BA0D21" w:rsidRPr="00BA0D21" w:rsidRDefault="00BA0D21" w:rsidP="00BA0D21">
      <w:pPr>
        <w:rPr>
          <w:rFonts w:ascii="Times New Roman" w:hAnsi="Times New Roman" w:cs="Times New Roman"/>
        </w:rPr>
      </w:pPr>
      <w:r w:rsidRPr="00BA0D21">
        <w:rPr>
          <w:rFonts w:ascii="Times New Roman" w:hAnsi="Times New Roman" w:cs="Times New Roman"/>
        </w:rPr>
        <w:t xml:space="preserve">OLIVEIRA, Fabiano Melo Gonçalves de. </w:t>
      </w:r>
      <w:proofErr w:type="gramStart"/>
      <w:r w:rsidRPr="00BA0D21">
        <w:rPr>
          <w:rFonts w:ascii="Times New Roman" w:hAnsi="Times New Roman" w:cs="Times New Roman"/>
          <w:b/>
        </w:rPr>
        <w:t>Direito Ambiental</w:t>
      </w:r>
      <w:proofErr w:type="gramEnd"/>
      <w:r w:rsidRPr="00BA0D21">
        <w:rPr>
          <w:rFonts w:ascii="Times New Roman" w:hAnsi="Times New Roman" w:cs="Times New Roman"/>
        </w:rPr>
        <w:t>.</w:t>
      </w:r>
      <w:r w:rsidRPr="00BA0D21">
        <w:rPr>
          <w:rFonts w:ascii="Times New Roman" w:hAnsi="Times New Roman" w:cs="Times New Roman"/>
          <w:b/>
        </w:rPr>
        <w:t xml:space="preserve"> </w:t>
      </w:r>
      <w:r w:rsidRPr="00BA0D21">
        <w:rPr>
          <w:rFonts w:ascii="Times New Roman" w:hAnsi="Times New Roman" w:cs="Times New Roman"/>
        </w:rPr>
        <w:t>2. ed. Rio de Janeiro: Forense; São Paulo: Método, 2017.</w:t>
      </w:r>
    </w:p>
    <w:p w:rsidR="00BA0D21" w:rsidRPr="00BA0D21" w:rsidRDefault="00BA0D21" w:rsidP="00BA0D21">
      <w:pPr>
        <w:rPr>
          <w:rFonts w:ascii="Times New Roman" w:hAnsi="Times New Roman" w:cs="Times New Roman"/>
        </w:rPr>
      </w:pPr>
    </w:p>
    <w:p w:rsidR="00BA0D21" w:rsidRPr="00BA0D21" w:rsidRDefault="00BA0D21" w:rsidP="00BA0D21">
      <w:pPr>
        <w:rPr>
          <w:rFonts w:ascii="Times New Roman" w:eastAsia="Times New Roman" w:hAnsi="Times New Roman" w:cs="Times New Roman"/>
        </w:rPr>
      </w:pPr>
      <w:r w:rsidRPr="00BA0D21">
        <w:rPr>
          <w:rFonts w:ascii="Times New Roman" w:eastAsia="Times New Roman" w:hAnsi="Times New Roman" w:cs="Times New Roman"/>
        </w:rPr>
        <w:t xml:space="preserve">PIRENÓPOLIS. </w:t>
      </w:r>
      <w:proofErr w:type="gramStart"/>
      <w:r w:rsidRPr="00BA0D21">
        <w:rPr>
          <w:rFonts w:ascii="Times New Roman" w:eastAsia="Times New Roman" w:hAnsi="Times New Roman" w:cs="Times New Roman"/>
          <w:b/>
        </w:rPr>
        <w:t>Lei Complementar</w:t>
      </w:r>
      <w:proofErr w:type="gramEnd"/>
      <w:r w:rsidRPr="00BA0D21">
        <w:rPr>
          <w:rFonts w:ascii="Times New Roman" w:eastAsia="Times New Roman" w:hAnsi="Times New Roman" w:cs="Times New Roman"/>
          <w:b/>
        </w:rPr>
        <w:t xml:space="preserve"> 002/02</w:t>
      </w:r>
      <w:r w:rsidRPr="00BA0D21">
        <w:rPr>
          <w:rFonts w:ascii="Times New Roman" w:eastAsia="Times New Roman" w:hAnsi="Times New Roman" w:cs="Times New Roman"/>
        </w:rPr>
        <w:t xml:space="preserve">, de 12 de dezembro de 2002. Pirenópolis, GO: 2002. Disponível em: &lt;https://www.pirenopolis.go.gov.br/images/leis-e-atos/plano-diretor-2002.pdf&gt;. Acesso em 03 out. 2020. </w:t>
      </w:r>
    </w:p>
    <w:p w:rsidR="00BA0D21" w:rsidRPr="00BA0D21" w:rsidRDefault="00BA0D21" w:rsidP="00BA0D21">
      <w:pPr>
        <w:rPr>
          <w:rFonts w:ascii="Times New Roman" w:eastAsia="Times New Roman" w:hAnsi="Times New Roman" w:cs="Times New Roman"/>
        </w:rPr>
      </w:pPr>
    </w:p>
    <w:p w:rsidR="00BA0D21" w:rsidRPr="00BA0D21" w:rsidRDefault="00BA0D21" w:rsidP="00BA0D21">
      <w:pPr>
        <w:rPr>
          <w:rFonts w:ascii="Times New Roman" w:eastAsia="Times New Roman" w:hAnsi="Times New Roman" w:cs="Times New Roman"/>
        </w:rPr>
      </w:pPr>
      <w:r w:rsidRPr="00BA0D21">
        <w:rPr>
          <w:rFonts w:ascii="Times New Roman" w:hAnsi="Times New Roman" w:cs="Times New Roman"/>
        </w:rPr>
        <w:t xml:space="preserve">______. </w:t>
      </w:r>
      <w:r w:rsidRPr="00BA0D21">
        <w:rPr>
          <w:rFonts w:ascii="Times New Roman" w:eastAsia="Times New Roman" w:hAnsi="Times New Roman" w:cs="Times New Roman"/>
        </w:rPr>
        <w:t xml:space="preserve">Prefeitura Municipal de. </w:t>
      </w:r>
      <w:r w:rsidRPr="00BA0D21">
        <w:rPr>
          <w:rFonts w:ascii="Times New Roman" w:eastAsia="Times New Roman" w:hAnsi="Times New Roman" w:cs="Times New Roman"/>
          <w:b/>
        </w:rPr>
        <w:t>Município</w:t>
      </w:r>
      <w:r w:rsidRPr="00BA0D21">
        <w:rPr>
          <w:rFonts w:ascii="Times New Roman" w:eastAsia="Times New Roman" w:hAnsi="Times New Roman" w:cs="Times New Roman"/>
        </w:rPr>
        <w:t xml:space="preserve">. Pirenópolis, GO: 2020. Disponível em &lt;https://www.pirenopolis.go.gov.br/municipio/a-cidade&gt;. Acesso em 13 de set. 2020. </w:t>
      </w:r>
    </w:p>
    <w:p w:rsidR="00BA0D21" w:rsidRPr="00BA0D21" w:rsidRDefault="00BA0D21" w:rsidP="00BA0D21">
      <w:pPr>
        <w:rPr>
          <w:rFonts w:ascii="Times New Roman" w:eastAsia="Times New Roman" w:hAnsi="Times New Roman" w:cs="Times New Roman"/>
        </w:rPr>
      </w:pPr>
    </w:p>
    <w:p w:rsidR="00BA0D21" w:rsidRPr="00BA0D21" w:rsidRDefault="00BA0D21" w:rsidP="00BA0D21">
      <w:pPr>
        <w:rPr>
          <w:rFonts w:ascii="Times New Roman" w:hAnsi="Times New Roman" w:cs="Times New Roman"/>
        </w:rPr>
      </w:pPr>
      <w:r w:rsidRPr="00BA0D21">
        <w:rPr>
          <w:rFonts w:ascii="Times New Roman" w:hAnsi="Times New Roman" w:cs="Times New Roman"/>
        </w:rPr>
        <w:t xml:space="preserve">SOCIOAMBIENTAL. Instituto. </w:t>
      </w:r>
      <w:r w:rsidRPr="00BA0D21">
        <w:rPr>
          <w:rFonts w:ascii="Times New Roman" w:hAnsi="Times New Roman" w:cs="Times New Roman"/>
          <w:b/>
        </w:rPr>
        <w:t>Unidades de Conservação no Brasil</w:t>
      </w:r>
      <w:r w:rsidRPr="00BA0D21">
        <w:rPr>
          <w:rFonts w:ascii="Times New Roman" w:hAnsi="Times New Roman" w:cs="Times New Roman"/>
        </w:rPr>
        <w:t xml:space="preserve">. 2020. Disponível em: &lt;https://uc.socioambiental.org/pt-br&gt;. Acesso em 21 out. 2020.  </w:t>
      </w:r>
    </w:p>
    <w:p w:rsidR="00BA0D21" w:rsidRPr="00BA0D21" w:rsidRDefault="00BA0D21" w:rsidP="00BA0D21">
      <w:pPr>
        <w:rPr>
          <w:rFonts w:ascii="Times New Roman" w:hAnsi="Times New Roman" w:cs="Times New Roman"/>
        </w:rPr>
      </w:pPr>
    </w:p>
    <w:p w:rsidR="00C141D3" w:rsidRDefault="00BA0D21" w:rsidP="00BA0D21">
      <w:pPr>
        <w:rPr>
          <w:rFonts w:ascii="Times New Roman" w:eastAsia="Times New Roman" w:hAnsi="Times New Roman" w:cs="Times New Roman"/>
          <w:b/>
          <w:smallCaps/>
          <w:color w:val="000000"/>
        </w:rPr>
      </w:pPr>
      <w:r w:rsidRPr="00BA0D21">
        <w:rPr>
          <w:rFonts w:ascii="Times New Roman" w:hAnsi="Times New Roman" w:cs="Times New Roman"/>
        </w:rPr>
        <w:t xml:space="preserve">WIEDMANN, Sonia Maria Pereira; GUAGLIARDI, Roberta. A reserva particular do patrimônio natural (RPPN): unidade de conservação particular. In: GUAGLIARDI, Roberta (org.). </w:t>
      </w:r>
      <w:r w:rsidRPr="00BA0D21">
        <w:rPr>
          <w:rFonts w:ascii="Times New Roman" w:hAnsi="Times New Roman" w:cs="Times New Roman"/>
          <w:b/>
        </w:rPr>
        <w:t>Programa estadual de reservas particulares do patrimônio natural (</w:t>
      </w:r>
      <w:proofErr w:type="spellStart"/>
      <w:r w:rsidRPr="00BA0D21">
        <w:rPr>
          <w:rFonts w:ascii="Times New Roman" w:hAnsi="Times New Roman" w:cs="Times New Roman"/>
          <w:b/>
        </w:rPr>
        <w:t>RPPNs</w:t>
      </w:r>
      <w:proofErr w:type="spellEnd"/>
      <w:r w:rsidRPr="00BA0D21">
        <w:rPr>
          <w:rFonts w:ascii="Times New Roman" w:hAnsi="Times New Roman" w:cs="Times New Roman"/>
          <w:b/>
        </w:rPr>
        <w:t xml:space="preserve">): </w:t>
      </w:r>
      <w:r w:rsidRPr="00BA0D21">
        <w:rPr>
          <w:rFonts w:ascii="Times New Roman" w:hAnsi="Times New Roman" w:cs="Times New Roman"/>
        </w:rPr>
        <w:t>10 anos de apoio à conservação da biodiversidade. Rio de Janeiro: Instituto Estadual do Ambiente, 2018.</w:t>
      </w:r>
    </w:p>
    <w:sectPr w:rsidR="00C141D3" w:rsidSect="00B67F0D">
      <w:headerReference w:type="default" r:id="rId19"/>
      <w:type w:val="continuous"/>
      <w:pgSz w:w="11520" w:h="15480"/>
      <w:pgMar w:top="1701" w:right="1134" w:bottom="1134" w:left="1701" w:header="454" w:footer="39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4361" w:rsidRDefault="00724361">
      <w:r>
        <w:separator/>
      </w:r>
    </w:p>
  </w:endnote>
  <w:endnote w:type="continuationSeparator" w:id="0">
    <w:p w:rsidR="00724361" w:rsidRDefault="00724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597" w:rsidRDefault="003D68C8">
    <w:pPr>
      <w:pStyle w:val="Rodap"/>
    </w:pPr>
    <w:r>
      <w:rPr>
        <w:rFonts w:ascii="Georgia" w:eastAsia="Georgia" w:hAnsi="Georgia" w:cs="Georgia"/>
        <w:noProof/>
        <w:color w:val="333333"/>
        <w:sz w:val="24"/>
        <w:szCs w:val="24"/>
        <w:lang w:eastAsia="pt-BR" w:bidi="ar-SA"/>
      </w:rPr>
      <w:drawing>
        <wp:anchor distT="0" distB="0" distL="114300" distR="114300" simplePos="0" relativeHeight="251680768" behindDoc="0" locked="0" layoutInCell="1" allowOverlap="1">
          <wp:simplePos x="0" y="0"/>
          <wp:positionH relativeFrom="page">
            <wp:posOffset>-47625</wp:posOffset>
          </wp:positionH>
          <wp:positionV relativeFrom="paragraph">
            <wp:posOffset>-143510</wp:posOffset>
          </wp:positionV>
          <wp:extent cx="7848600" cy="887730"/>
          <wp:effectExtent l="0" t="0" r="0" b="762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B0C" w:rsidRPr="00FD30C9" w:rsidRDefault="003D68C8" w:rsidP="00FD30C9">
    <w:pPr>
      <w:rPr>
        <w:i/>
        <w:color w:val="262626" w:themeColor="text1" w:themeTint="D9"/>
        <w:lang w:val="en-US"/>
      </w:rPr>
    </w:pPr>
    <w:r>
      <w:rPr>
        <w:rFonts w:ascii="Georgia" w:eastAsia="Georgia" w:hAnsi="Georgia" w:cs="Georgia"/>
        <w:noProof/>
        <w:color w:val="333333"/>
        <w:sz w:val="24"/>
        <w:szCs w:val="24"/>
        <w:lang w:eastAsia="pt-BR" w:bidi="ar-SA"/>
      </w:rPr>
      <w:drawing>
        <wp:anchor distT="0" distB="0" distL="114300" distR="114300" simplePos="0" relativeHeight="251682816" behindDoc="0" locked="0" layoutInCell="1" allowOverlap="1">
          <wp:simplePos x="0" y="0"/>
          <wp:positionH relativeFrom="page">
            <wp:align>left</wp:align>
          </wp:positionH>
          <wp:positionV relativeFrom="paragraph">
            <wp:posOffset>-152400</wp:posOffset>
          </wp:positionV>
          <wp:extent cx="7848600" cy="887730"/>
          <wp:effectExtent l="0" t="0" r="0" b="762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4361" w:rsidRDefault="00724361">
      <w:r>
        <w:separator/>
      </w:r>
    </w:p>
  </w:footnote>
  <w:footnote w:type="continuationSeparator" w:id="0">
    <w:p w:rsidR="00724361" w:rsidRDefault="00724361">
      <w:r>
        <w:continuationSeparator/>
      </w:r>
    </w:p>
  </w:footnote>
  <w:footnote w:id="1">
    <w:p w:rsidR="003B404A" w:rsidRPr="0096284A" w:rsidRDefault="003B404A" w:rsidP="0096284A">
      <w:pPr>
        <w:pBdr>
          <w:top w:val="nil"/>
          <w:left w:val="nil"/>
          <w:bottom w:val="nil"/>
          <w:right w:val="nil"/>
          <w:between w:val="nil"/>
        </w:pBdr>
        <w:jc w:val="both"/>
        <w:rPr>
          <w:rFonts w:ascii="Times New Roman" w:eastAsia="Times New Roman" w:hAnsi="Times New Roman" w:cs="Times New Roman"/>
          <w:i/>
          <w:color w:val="000000"/>
          <w:sz w:val="20"/>
          <w:szCs w:val="20"/>
        </w:rPr>
      </w:pPr>
      <w:r>
        <w:rPr>
          <w:rStyle w:val="Refdenotaderodap"/>
        </w:rPr>
        <w:footnoteRef/>
      </w:r>
      <w:r w:rsidR="00D5568E">
        <w:rPr>
          <w:rFonts w:ascii="Times New Roman" w:eastAsia="Times New Roman" w:hAnsi="Times New Roman" w:cs="Times New Roman"/>
          <w:i/>
          <w:color w:val="000000"/>
          <w:sz w:val="20"/>
          <w:szCs w:val="20"/>
        </w:rPr>
        <w:t>Mestranda</w:t>
      </w:r>
      <w:r w:rsidR="0096284A" w:rsidRPr="0096284A">
        <w:rPr>
          <w:rFonts w:ascii="Times New Roman" w:eastAsia="Times New Roman" w:hAnsi="Times New Roman" w:cs="Times New Roman"/>
          <w:i/>
          <w:color w:val="000000"/>
          <w:sz w:val="20"/>
          <w:szCs w:val="20"/>
        </w:rPr>
        <w:t xml:space="preserve">. Universidade Estadual de Goiás; </w:t>
      </w:r>
      <w:r w:rsidR="0096284A" w:rsidRPr="0096284A">
        <w:rPr>
          <w:rFonts w:ascii="Times New Roman" w:hAnsi="Times New Roman" w:cs="Times New Roman"/>
          <w:bCs/>
          <w:i/>
          <w:sz w:val="20"/>
          <w:szCs w:val="20"/>
        </w:rPr>
        <w:t>Campus de Ciência Socioeconômicas e Humanas</w:t>
      </w:r>
      <w:r w:rsidR="0096284A">
        <w:rPr>
          <w:rFonts w:ascii="Times New Roman" w:hAnsi="Times New Roman" w:cs="Times New Roman"/>
          <w:bCs/>
          <w:i/>
          <w:sz w:val="20"/>
          <w:szCs w:val="20"/>
        </w:rPr>
        <w:t xml:space="preserve">, </w:t>
      </w:r>
      <w:r w:rsidR="0096284A" w:rsidRPr="0096284A">
        <w:rPr>
          <w:rFonts w:ascii="Times New Roman" w:hAnsi="Times New Roman" w:cs="Times New Roman"/>
          <w:bCs/>
          <w:i/>
          <w:sz w:val="20"/>
          <w:szCs w:val="20"/>
        </w:rPr>
        <w:t>Ciências Econômicas</w:t>
      </w:r>
      <w:r w:rsidR="0096284A" w:rsidRPr="0096284A">
        <w:rPr>
          <w:rFonts w:ascii="Times New Roman" w:eastAsia="Times New Roman" w:hAnsi="Times New Roman" w:cs="Times New Roman"/>
          <w:i/>
          <w:color w:val="000000"/>
          <w:sz w:val="20"/>
          <w:szCs w:val="20"/>
        </w:rPr>
        <w:t>; amandabrego@hotmail.com</w:t>
      </w:r>
      <w:r w:rsidRPr="0096284A">
        <w:rPr>
          <w:rFonts w:ascii="Times New Roman" w:eastAsia="Times New Roman" w:hAnsi="Times New Roman" w:cs="Times New Roman"/>
          <w:i/>
          <w:color w:val="000000"/>
          <w:sz w:val="20"/>
          <w:szCs w:val="20"/>
        </w:rPr>
        <w:t>.</w:t>
      </w:r>
    </w:p>
  </w:footnote>
  <w:footnote w:id="2">
    <w:p w:rsidR="003B404A" w:rsidRPr="0096284A" w:rsidRDefault="003B404A" w:rsidP="0096284A">
      <w:pPr>
        <w:pStyle w:val="Textodenotaderodap"/>
        <w:jc w:val="both"/>
        <w:rPr>
          <w:rFonts w:ascii="Times New Roman" w:hAnsi="Times New Roman" w:cs="Times New Roman"/>
          <w:i/>
        </w:rPr>
      </w:pPr>
      <w:r w:rsidRPr="0096284A">
        <w:rPr>
          <w:rStyle w:val="Refdenotaderodap"/>
          <w:rFonts w:ascii="Times New Roman" w:hAnsi="Times New Roman" w:cs="Times New Roman"/>
          <w:i/>
        </w:rPr>
        <w:footnoteRef/>
      </w:r>
      <w:r w:rsidRPr="0096284A">
        <w:rPr>
          <w:rFonts w:ascii="Times New Roman" w:eastAsia="Times New Roman" w:hAnsi="Times New Roman" w:cs="Times New Roman"/>
          <w:i/>
          <w:color w:val="000000"/>
        </w:rPr>
        <w:t>Prof</w:t>
      </w:r>
      <w:r w:rsidR="0096284A">
        <w:rPr>
          <w:rFonts w:ascii="Times New Roman" w:eastAsia="Times New Roman" w:hAnsi="Times New Roman" w:cs="Times New Roman"/>
          <w:i/>
          <w:color w:val="000000"/>
        </w:rPr>
        <w:t>a</w:t>
      </w:r>
      <w:r w:rsidRPr="0096284A">
        <w:rPr>
          <w:rFonts w:ascii="Times New Roman" w:eastAsia="Times New Roman" w:hAnsi="Times New Roman" w:cs="Times New Roman"/>
          <w:i/>
          <w:color w:val="000000"/>
        </w:rPr>
        <w:t>. Dr</w:t>
      </w:r>
      <w:r w:rsidR="0096284A" w:rsidRPr="0096284A">
        <w:rPr>
          <w:rFonts w:ascii="Times New Roman" w:eastAsia="Times New Roman" w:hAnsi="Times New Roman" w:cs="Times New Roman"/>
          <w:i/>
          <w:color w:val="000000"/>
        </w:rPr>
        <w:t xml:space="preserve">a. Universidade Estadual de Goiás; </w:t>
      </w:r>
      <w:r w:rsidR="0096284A" w:rsidRPr="0096284A">
        <w:rPr>
          <w:rFonts w:ascii="Times New Roman" w:hAnsi="Times New Roman" w:cs="Times New Roman"/>
          <w:bCs/>
          <w:i/>
        </w:rPr>
        <w:t>Campus de Ciência Socioeconômicas</w:t>
      </w:r>
      <w:r w:rsidR="0096284A">
        <w:rPr>
          <w:rFonts w:ascii="Times New Roman" w:hAnsi="Times New Roman" w:cs="Times New Roman"/>
          <w:bCs/>
          <w:i/>
        </w:rPr>
        <w:t xml:space="preserve"> e Humana, </w:t>
      </w:r>
      <w:r w:rsidR="0096284A" w:rsidRPr="0096284A">
        <w:rPr>
          <w:rFonts w:ascii="Times New Roman" w:hAnsi="Times New Roman" w:cs="Times New Roman"/>
          <w:bCs/>
          <w:i/>
        </w:rPr>
        <w:t>Ciências Econômicas</w:t>
      </w:r>
      <w:r w:rsidR="0096284A" w:rsidRPr="0096284A">
        <w:rPr>
          <w:rFonts w:ascii="Times New Roman" w:eastAsia="Times New Roman" w:hAnsi="Times New Roman" w:cs="Times New Roman"/>
          <w:i/>
          <w:color w:val="000000"/>
        </w:rPr>
        <w:t>;</w:t>
      </w:r>
      <w:r w:rsidR="0096284A">
        <w:rPr>
          <w:rFonts w:ascii="Times New Roman" w:eastAsia="Times New Roman" w:hAnsi="Times New Roman" w:cs="Times New Roman"/>
          <w:i/>
          <w:color w:val="000000"/>
        </w:rPr>
        <w:t xml:space="preserve"> </w:t>
      </w:r>
      <w:r w:rsidR="0096284A" w:rsidRPr="0096284A">
        <w:rPr>
          <w:rFonts w:ascii="Times New Roman" w:hAnsi="Times New Roman" w:cs="Times New Roman"/>
          <w:i/>
        </w:rPr>
        <w:t>joanabardellacastro@gmail.com</w:t>
      </w:r>
      <w:r w:rsidR="0096284A" w:rsidRPr="0096284A">
        <w:rPr>
          <w:rFonts w:ascii="Times New Roman" w:eastAsia="Times New Roman" w:hAnsi="Times New Roman" w:cs="Times New Roman"/>
          <w:i/>
          <w:color w:val="000000"/>
        </w:rPr>
        <w:t xml:space="preserve"> </w:t>
      </w:r>
    </w:p>
  </w:footnote>
  <w:footnote w:id="3">
    <w:p w:rsidR="007E50AE" w:rsidRPr="00BA0D21" w:rsidRDefault="007E50AE" w:rsidP="007E50AE">
      <w:pPr>
        <w:pStyle w:val="Textodenotaderodap"/>
        <w:rPr>
          <w:rFonts w:ascii="Times New Roman" w:hAnsi="Times New Roman" w:cs="Times New Roman"/>
        </w:rPr>
      </w:pPr>
      <w:r w:rsidRPr="00BA0D21">
        <w:rPr>
          <w:rStyle w:val="Refdenotaderodap"/>
          <w:rFonts w:ascii="Times New Roman" w:hAnsi="Times New Roman" w:cs="Times New Roman"/>
        </w:rPr>
        <w:footnoteRef/>
      </w:r>
      <w:r w:rsidRPr="00BA0D21">
        <w:rPr>
          <w:rFonts w:ascii="Times New Roman" w:hAnsi="Times New Roman" w:cs="Times New Roman"/>
        </w:rPr>
        <w:t xml:space="preserve"> Valores Acumulados repassados até o dia 31 de maio de 2021.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713" w:rsidRDefault="00971597">
    <w:pPr>
      <w:pStyle w:val="Cabealho"/>
    </w:pPr>
    <w:r>
      <w:rPr>
        <w:noProof/>
        <w:lang w:eastAsia="pt-BR" w:bidi="ar-SA"/>
      </w:rPr>
      <w:drawing>
        <wp:anchor distT="0" distB="0" distL="114300" distR="114300" simplePos="0" relativeHeight="251672576" behindDoc="0" locked="0" layoutInCell="1" allowOverlap="1">
          <wp:simplePos x="0" y="0"/>
          <wp:positionH relativeFrom="page">
            <wp:align>right</wp:align>
          </wp:positionH>
          <wp:positionV relativeFrom="paragraph">
            <wp:posOffset>-295910</wp:posOffset>
          </wp:positionV>
          <wp:extent cx="7547610" cy="1085850"/>
          <wp:effectExtent l="0" t="0" r="0" b="0"/>
          <wp:wrapNone/>
          <wp:docPr id="9"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sidR="00B301A4" w:rsidRPr="00857999">
      <w:rPr>
        <w:noProof/>
        <w:lang w:eastAsia="pt-BR" w:bidi="ar-SA"/>
      </w:rPr>
      <w:drawing>
        <wp:anchor distT="0" distB="0" distL="114300" distR="114300" simplePos="0" relativeHeight="251662336" behindDoc="0" locked="0" layoutInCell="1" allowOverlap="1">
          <wp:simplePos x="0" y="0"/>
          <wp:positionH relativeFrom="page">
            <wp:posOffset>5791200</wp:posOffset>
          </wp:positionH>
          <wp:positionV relativeFrom="paragraph">
            <wp:posOffset>-152400</wp:posOffset>
          </wp:positionV>
          <wp:extent cx="1270635" cy="771525"/>
          <wp:effectExtent l="0" t="0" r="5715"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0635" cy="771525"/>
                  </a:xfrm>
                  <a:prstGeom prst="rect">
                    <a:avLst/>
                  </a:prstGeom>
                  <a:noFill/>
                  <a:ln>
                    <a:noFill/>
                  </a:ln>
                </pic:spPr>
              </pic:pic>
            </a:graphicData>
          </a:graphic>
        </wp:anchor>
      </w:drawing>
    </w:r>
    <w:r w:rsidR="00833D7D">
      <w:rPr>
        <w:noProof/>
        <w:lang w:eastAsia="pt-BR" w:bidi="ar-SA"/>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1076325" cy="208915"/>
              <wp:effectExtent l="0" t="0" r="5715" b="635"/>
              <wp:wrapNone/>
              <wp:docPr id="15"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08915"/>
                      </a:xfrm>
                      <a:prstGeom prst="rect">
                        <a:avLst/>
                      </a:prstGeom>
                      <a:solidFill>
                        <a:schemeClr val="accent6">
                          <a:lumMod val="75000"/>
                        </a:schemeClr>
                      </a:solidFill>
                      <a:ln>
                        <a:noFill/>
                      </a:ln>
                    </wps:spPr>
                    <wps:txbx>
                      <w:txbxContent>
                        <w:p w:rsidR="009B3713" w:rsidRPr="00EB4F8E" w:rsidRDefault="00F262B1">
                          <w:pPr>
                            <w:jc w:val="right"/>
                            <w:rPr>
                              <w:color w:val="FFFFFF" w:themeColor="background1"/>
                              <w:sz w:val="28"/>
                              <w:szCs w:val="28"/>
                            </w:rPr>
                          </w:pPr>
                          <w:r w:rsidRPr="00EB4F8E">
                            <w:rPr>
                              <w:sz w:val="28"/>
                              <w:szCs w:val="28"/>
                            </w:rPr>
                            <w:fldChar w:fldCharType="begin"/>
                          </w:r>
                          <w:r w:rsidR="009B3713" w:rsidRPr="00EB4F8E">
                            <w:rPr>
                              <w:sz w:val="28"/>
                              <w:szCs w:val="28"/>
                            </w:rPr>
                            <w:instrText>PAGE   \* MERGEFORMAT</w:instrText>
                          </w:r>
                          <w:r w:rsidRPr="00EB4F8E">
                            <w:rPr>
                              <w:sz w:val="28"/>
                              <w:szCs w:val="28"/>
                            </w:rPr>
                            <w:fldChar w:fldCharType="separate"/>
                          </w:r>
                          <w:r w:rsidR="001211C4" w:rsidRPr="001211C4">
                            <w:rPr>
                              <w:noProof/>
                              <w:color w:val="FFFFFF" w:themeColor="background1"/>
                              <w:sz w:val="28"/>
                              <w:szCs w:val="28"/>
                            </w:rPr>
                            <w:t>12</w:t>
                          </w:r>
                          <w:r w:rsidRPr="00EB4F8E">
                            <w:rPr>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219" o:spid="_x0000_s1031" type="#_x0000_t202" style="position:absolute;margin-left:0;margin-top:0;width:84.75pt;height:16.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" o:allowincell="f" fillcolor="#e36c0a [2409]" stroked="f">
              <v:textbox style="mso-fit-shape-to-text:t" inset=",0,,0">
                <w:txbxContent>
                  <w:p w:rsidR="009B3713" w:rsidRPr="00EB4F8E" w:rsidRDefault="00F262B1">
                    <w:pPr>
                      <w:jc w:val="right"/>
                      <w:rPr>
                        <w:color w:val="FFFFFF" w:themeColor="background1"/>
                        <w:sz w:val="28"/>
                        <w:szCs w:val="28"/>
                      </w:rPr>
                    </w:pPr>
                    <w:r w:rsidRPr="00EB4F8E">
                      <w:rPr>
                        <w:sz w:val="28"/>
                        <w:szCs w:val="28"/>
                      </w:rPr>
                      <w:fldChar w:fldCharType="begin"/>
                    </w:r>
                    <w:r w:rsidR="009B3713" w:rsidRPr="00EB4F8E">
                      <w:rPr>
                        <w:sz w:val="28"/>
                        <w:szCs w:val="28"/>
                      </w:rPr>
                      <w:instrText>PAGE   \* MERGEFORMAT</w:instrText>
                    </w:r>
                    <w:r w:rsidRPr="00EB4F8E">
                      <w:rPr>
                        <w:sz w:val="28"/>
                        <w:szCs w:val="28"/>
                      </w:rPr>
                      <w:fldChar w:fldCharType="separate"/>
                    </w:r>
                    <w:r w:rsidR="001211C4" w:rsidRPr="001211C4">
                      <w:rPr>
                        <w:noProof/>
                        <w:color w:val="FFFFFF" w:themeColor="background1"/>
                        <w:sz w:val="28"/>
                        <w:szCs w:val="28"/>
                      </w:rPr>
                      <w:t>12</w:t>
                    </w:r>
                    <w:r w:rsidRPr="00EB4F8E">
                      <w:rPr>
                        <w:color w:val="FFFFFF" w:themeColor="background1"/>
                        <w:sz w:val="28"/>
                        <w:szCs w:val="28"/>
                      </w:rPr>
                      <w:fldChar w:fldCharType="end"/>
                    </w:r>
                  </w:p>
                </w:txbxContent>
              </v:textbox>
              <w10:wrap anchorx="page"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7A8" w:rsidRPr="00EA79C3" w:rsidRDefault="00C141D3" w:rsidP="00EA79C3">
    <w:pPr>
      <w:rPr>
        <w:i/>
        <w:color w:val="262626" w:themeColor="text1" w:themeTint="D9"/>
        <w:lang w:val="en-US"/>
      </w:rPr>
    </w:pPr>
    <w:r>
      <w:rPr>
        <w:noProof/>
        <w:lang w:eastAsia="pt-BR" w:bidi="ar-SA"/>
      </w:rPr>
      <w:drawing>
        <wp:anchor distT="0" distB="0" distL="114300" distR="114300" simplePos="0" relativeHeight="251674624" behindDoc="0" locked="0" layoutInCell="1" allowOverlap="1">
          <wp:simplePos x="0" y="0"/>
          <wp:positionH relativeFrom="page">
            <wp:align>right</wp:align>
          </wp:positionH>
          <wp:positionV relativeFrom="paragraph">
            <wp:posOffset>-483870</wp:posOffset>
          </wp:positionV>
          <wp:extent cx="7547610" cy="1085850"/>
          <wp:effectExtent l="0" t="0" r="0" b="0"/>
          <wp:wrapNone/>
          <wp:docPr id="4"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sidR="00833D7D">
      <w:rPr>
        <w:noProof/>
        <w:lang w:eastAsia="pt-BR" w:bidi="ar-SA"/>
      </w:rPr>
      <mc:AlternateContent>
        <mc:Choice Requires="wps">
          <w:drawing>
            <wp:anchor distT="0" distB="0" distL="114300" distR="114300" simplePos="0" relativeHeight="251664384" behindDoc="0" locked="0" layoutInCell="0" allowOverlap="1">
              <wp:simplePos x="0" y="0"/>
              <wp:positionH relativeFrom="page">
                <wp:align>left</wp:align>
              </wp:positionH>
              <wp:positionV relativeFrom="topMargin">
                <wp:align>center</wp:align>
              </wp:positionV>
              <wp:extent cx="542290" cy="208915"/>
              <wp:effectExtent l="0" t="0" r="6350" b="635"/>
              <wp:wrapNone/>
              <wp:docPr id="14"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208915"/>
                      </a:xfrm>
                      <a:prstGeom prst="rect">
                        <a:avLst/>
                      </a:prstGeom>
                      <a:solidFill>
                        <a:schemeClr val="accent6">
                          <a:lumMod val="75000"/>
                        </a:schemeClr>
                      </a:solidFill>
                      <a:ln>
                        <a:noFill/>
                      </a:ln>
                    </wps:spPr>
                    <wps:txbx>
                      <w:txbxContent>
                        <w:p w:rsidR="006627A8" w:rsidRPr="00EB4F8E" w:rsidRDefault="00F262B1">
                          <w:pPr>
                            <w:jc w:val="right"/>
                            <w:rPr>
                              <w:color w:val="FFFFFF" w:themeColor="background1"/>
                              <w:sz w:val="28"/>
                              <w:szCs w:val="28"/>
                            </w:rPr>
                          </w:pPr>
                          <w:r w:rsidRPr="00EB4F8E">
                            <w:rPr>
                              <w:sz w:val="28"/>
                              <w:szCs w:val="28"/>
                            </w:rPr>
                            <w:fldChar w:fldCharType="begin"/>
                          </w:r>
                          <w:r w:rsidR="006627A8" w:rsidRPr="00EB4F8E">
                            <w:rPr>
                              <w:sz w:val="28"/>
                              <w:szCs w:val="28"/>
                            </w:rPr>
                            <w:instrText>PAGE   \* MERGEFORMAT</w:instrText>
                          </w:r>
                          <w:r w:rsidRPr="00EB4F8E">
                            <w:rPr>
                              <w:sz w:val="28"/>
                              <w:szCs w:val="28"/>
                            </w:rPr>
                            <w:fldChar w:fldCharType="separate"/>
                          </w:r>
                          <w:r w:rsidR="001211C4" w:rsidRPr="001211C4">
                            <w:rPr>
                              <w:noProof/>
                              <w:color w:val="FFFFFF" w:themeColor="background1"/>
                              <w:sz w:val="28"/>
                              <w:szCs w:val="28"/>
                            </w:rPr>
                            <w:t>1</w:t>
                          </w:r>
                          <w:r w:rsidRPr="00EB4F8E">
                            <w:rPr>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0;width:42.7pt;height:16.45pt;z-index:25166438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" o:allowincell="f" fillcolor="#e36c0a [2409]" stroked="f">
              <v:textbox style="mso-fit-shape-to-text:t" inset=",0,,0">
                <w:txbxContent>
                  <w:p w:rsidR="006627A8" w:rsidRPr="00EB4F8E" w:rsidRDefault="00F262B1">
                    <w:pPr>
                      <w:jc w:val="right"/>
                      <w:rPr>
                        <w:color w:val="FFFFFF" w:themeColor="background1"/>
                        <w:sz w:val="28"/>
                        <w:szCs w:val="28"/>
                      </w:rPr>
                    </w:pPr>
                    <w:r w:rsidRPr="00EB4F8E">
                      <w:rPr>
                        <w:sz w:val="28"/>
                        <w:szCs w:val="28"/>
                      </w:rPr>
                      <w:fldChar w:fldCharType="begin"/>
                    </w:r>
                    <w:r w:rsidR="006627A8" w:rsidRPr="00EB4F8E">
                      <w:rPr>
                        <w:sz w:val="28"/>
                        <w:szCs w:val="28"/>
                      </w:rPr>
                      <w:instrText>PAGE   \* MERGEFORMAT</w:instrText>
                    </w:r>
                    <w:r w:rsidRPr="00EB4F8E">
                      <w:rPr>
                        <w:sz w:val="28"/>
                        <w:szCs w:val="28"/>
                      </w:rPr>
                      <w:fldChar w:fldCharType="separate"/>
                    </w:r>
                    <w:r w:rsidR="001211C4" w:rsidRPr="001211C4">
                      <w:rPr>
                        <w:noProof/>
                        <w:color w:val="FFFFFF" w:themeColor="background1"/>
                        <w:sz w:val="28"/>
                        <w:szCs w:val="28"/>
                      </w:rPr>
                      <w:t>1</w:t>
                    </w:r>
                    <w:r w:rsidRPr="00EB4F8E">
                      <w:rPr>
                        <w:color w:val="FFFFFF" w:themeColor="background1"/>
                        <w:sz w:val="28"/>
                        <w:szCs w:val="28"/>
                      </w:rPr>
                      <w:fldChar w:fldCharType="end"/>
                    </w:r>
                  </w:p>
                </w:txbxContent>
              </v:textbox>
              <w10:wrap anchorx="page"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0AE" w:rsidRDefault="007E50AE">
    <w:pPr>
      <w:pStyle w:val="Cabealho"/>
      <w:jc w:val="right"/>
    </w:pPr>
  </w:p>
  <w:p w:rsidR="007E50AE" w:rsidRDefault="007E50AE">
    <w:pPr>
      <w:pStyle w:val="Cabealho"/>
      <w:jc w:val="right"/>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FE2582"/>
    <w:multiLevelType w:val="hybridMultilevel"/>
    <w:tmpl w:val="41AE3DC6"/>
    <w:lvl w:ilvl="0" w:tplc="5FF47E48">
      <w:start w:val="1"/>
      <w:numFmt w:val="decimal"/>
      <w:lvlText w:val="%1."/>
      <w:lvlJc w:val="left"/>
      <w:pPr>
        <w:ind w:left="563" w:hanging="341"/>
      </w:pPr>
      <w:rPr>
        <w:rFonts w:ascii="Bookman Old Style" w:eastAsia="Bookman Old Style" w:hAnsi="Bookman Old Style" w:cs="Bookman Old Style" w:hint="default"/>
        <w:color w:val="231F20"/>
        <w:w w:val="81"/>
        <w:sz w:val="18"/>
        <w:szCs w:val="18"/>
        <w:lang w:val="en-US" w:eastAsia="en-US" w:bidi="en-US"/>
      </w:rPr>
    </w:lvl>
    <w:lvl w:ilvl="1" w:tplc="11F68102">
      <w:numFmt w:val="bullet"/>
      <w:lvlText w:val="•"/>
      <w:lvlJc w:val="left"/>
      <w:pPr>
        <w:ind w:left="993" w:hanging="341"/>
      </w:pPr>
      <w:rPr>
        <w:rFonts w:hint="default"/>
        <w:lang w:val="en-US" w:eastAsia="en-US" w:bidi="en-US"/>
      </w:rPr>
    </w:lvl>
    <w:lvl w:ilvl="2" w:tplc="B762BC72">
      <w:numFmt w:val="bullet"/>
      <w:lvlText w:val="•"/>
      <w:lvlJc w:val="left"/>
      <w:pPr>
        <w:ind w:left="1427" w:hanging="341"/>
      </w:pPr>
      <w:rPr>
        <w:rFonts w:hint="default"/>
        <w:lang w:val="en-US" w:eastAsia="en-US" w:bidi="en-US"/>
      </w:rPr>
    </w:lvl>
    <w:lvl w:ilvl="3" w:tplc="DFF8CC48">
      <w:numFmt w:val="bullet"/>
      <w:lvlText w:val="•"/>
      <w:lvlJc w:val="left"/>
      <w:pPr>
        <w:ind w:left="1861" w:hanging="341"/>
      </w:pPr>
      <w:rPr>
        <w:rFonts w:hint="default"/>
        <w:lang w:val="en-US" w:eastAsia="en-US" w:bidi="en-US"/>
      </w:rPr>
    </w:lvl>
    <w:lvl w:ilvl="4" w:tplc="A1FEFC44">
      <w:numFmt w:val="bullet"/>
      <w:lvlText w:val="•"/>
      <w:lvlJc w:val="left"/>
      <w:pPr>
        <w:ind w:left="2295" w:hanging="341"/>
      </w:pPr>
      <w:rPr>
        <w:rFonts w:hint="default"/>
        <w:lang w:val="en-US" w:eastAsia="en-US" w:bidi="en-US"/>
      </w:rPr>
    </w:lvl>
    <w:lvl w:ilvl="5" w:tplc="78B0568E">
      <w:numFmt w:val="bullet"/>
      <w:lvlText w:val="•"/>
      <w:lvlJc w:val="left"/>
      <w:pPr>
        <w:ind w:left="2729" w:hanging="341"/>
      </w:pPr>
      <w:rPr>
        <w:rFonts w:hint="default"/>
        <w:lang w:val="en-US" w:eastAsia="en-US" w:bidi="en-US"/>
      </w:rPr>
    </w:lvl>
    <w:lvl w:ilvl="6" w:tplc="0DC49B60">
      <w:numFmt w:val="bullet"/>
      <w:lvlText w:val="•"/>
      <w:lvlJc w:val="left"/>
      <w:pPr>
        <w:ind w:left="3163" w:hanging="341"/>
      </w:pPr>
      <w:rPr>
        <w:rFonts w:hint="default"/>
        <w:lang w:val="en-US" w:eastAsia="en-US" w:bidi="en-US"/>
      </w:rPr>
    </w:lvl>
    <w:lvl w:ilvl="7" w:tplc="57002AF8">
      <w:numFmt w:val="bullet"/>
      <w:lvlText w:val="•"/>
      <w:lvlJc w:val="left"/>
      <w:pPr>
        <w:ind w:left="3597" w:hanging="341"/>
      </w:pPr>
      <w:rPr>
        <w:rFonts w:hint="default"/>
        <w:lang w:val="en-US" w:eastAsia="en-US" w:bidi="en-US"/>
      </w:rPr>
    </w:lvl>
    <w:lvl w:ilvl="8" w:tplc="F65491E0">
      <w:numFmt w:val="bullet"/>
      <w:lvlText w:val="•"/>
      <w:lvlJc w:val="left"/>
      <w:pPr>
        <w:ind w:left="4031" w:hanging="341"/>
      </w:pPr>
      <w:rPr>
        <w:rFonts w:hint="default"/>
        <w:lang w:val="en-US" w:eastAsia="en-US" w:bidi="en-US"/>
      </w:rPr>
    </w:lvl>
  </w:abstractNum>
  <w:abstractNum w:abstractNumId="1" w15:restartNumberingAfterBreak="0">
    <w:nsid w:val="70C20ACB"/>
    <w:multiLevelType w:val="hybridMultilevel"/>
    <w:tmpl w:val="938A91E6"/>
    <w:lvl w:ilvl="0" w:tplc="C5CCDB9E">
      <w:numFmt w:val="bullet"/>
      <w:lvlText w:val="●"/>
      <w:lvlJc w:val="left"/>
      <w:pPr>
        <w:ind w:left="432" w:hanging="329"/>
      </w:pPr>
      <w:rPr>
        <w:rFonts w:ascii="Arial" w:eastAsia="Arial" w:hAnsi="Arial" w:cs="Arial" w:hint="default"/>
        <w:color w:val="231F20"/>
        <w:w w:val="92"/>
        <w:sz w:val="16"/>
        <w:szCs w:val="16"/>
        <w:lang w:val="en-US" w:eastAsia="en-US" w:bidi="en-US"/>
      </w:rPr>
    </w:lvl>
    <w:lvl w:ilvl="1" w:tplc="EF80A016">
      <w:numFmt w:val="bullet"/>
      <w:lvlText w:val="●"/>
      <w:lvlJc w:val="left"/>
      <w:pPr>
        <w:ind w:left="552" w:hanging="329"/>
      </w:pPr>
      <w:rPr>
        <w:rFonts w:ascii="Arial" w:eastAsia="Arial" w:hAnsi="Arial" w:cs="Arial" w:hint="default"/>
        <w:color w:val="231F20"/>
        <w:w w:val="92"/>
        <w:sz w:val="16"/>
        <w:szCs w:val="16"/>
        <w:lang w:val="en-US" w:eastAsia="en-US" w:bidi="en-US"/>
      </w:rPr>
    </w:lvl>
    <w:lvl w:ilvl="2" w:tplc="08B67E8E">
      <w:numFmt w:val="bullet"/>
      <w:lvlText w:val="•"/>
      <w:lvlJc w:val="left"/>
      <w:pPr>
        <w:ind w:left="487" w:hanging="329"/>
      </w:pPr>
      <w:rPr>
        <w:rFonts w:hint="default"/>
        <w:lang w:val="en-US" w:eastAsia="en-US" w:bidi="en-US"/>
      </w:rPr>
    </w:lvl>
    <w:lvl w:ilvl="3" w:tplc="95EAB942">
      <w:numFmt w:val="bullet"/>
      <w:lvlText w:val="•"/>
      <w:lvlJc w:val="left"/>
      <w:pPr>
        <w:ind w:left="414" w:hanging="329"/>
      </w:pPr>
      <w:rPr>
        <w:rFonts w:hint="default"/>
        <w:lang w:val="en-US" w:eastAsia="en-US" w:bidi="en-US"/>
      </w:rPr>
    </w:lvl>
    <w:lvl w:ilvl="4" w:tplc="BD4823A6">
      <w:numFmt w:val="bullet"/>
      <w:lvlText w:val="•"/>
      <w:lvlJc w:val="left"/>
      <w:pPr>
        <w:ind w:left="341" w:hanging="329"/>
      </w:pPr>
      <w:rPr>
        <w:rFonts w:hint="default"/>
        <w:lang w:val="en-US" w:eastAsia="en-US" w:bidi="en-US"/>
      </w:rPr>
    </w:lvl>
    <w:lvl w:ilvl="5" w:tplc="F16EB0F8">
      <w:numFmt w:val="bullet"/>
      <w:lvlText w:val="•"/>
      <w:lvlJc w:val="left"/>
      <w:pPr>
        <w:ind w:left="268" w:hanging="329"/>
      </w:pPr>
      <w:rPr>
        <w:rFonts w:hint="default"/>
        <w:lang w:val="en-US" w:eastAsia="en-US" w:bidi="en-US"/>
      </w:rPr>
    </w:lvl>
    <w:lvl w:ilvl="6" w:tplc="88A827A6">
      <w:numFmt w:val="bullet"/>
      <w:lvlText w:val="•"/>
      <w:lvlJc w:val="left"/>
      <w:pPr>
        <w:ind w:left="195" w:hanging="329"/>
      </w:pPr>
      <w:rPr>
        <w:rFonts w:hint="default"/>
        <w:lang w:val="en-US" w:eastAsia="en-US" w:bidi="en-US"/>
      </w:rPr>
    </w:lvl>
    <w:lvl w:ilvl="7" w:tplc="7BFA905E">
      <w:numFmt w:val="bullet"/>
      <w:lvlText w:val="•"/>
      <w:lvlJc w:val="left"/>
      <w:pPr>
        <w:ind w:left="122" w:hanging="329"/>
      </w:pPr>
      <w:rPr>
        <w:rFonts w:hint="default"/>
        <w:lang w:val="en-US" w:eastAsia="en-US" w:bidi="en-US"/>
      </w:rPr>
    </w:lvl>
    <w:lvl w:ilvl="8" w:tplc="075A885C">
      <w:numFmt w:val="bullet"/>
      <w:lvlText w:val="•"/>
      <w:lvlJc w:val="left"/>
      <w:pPr>
        <w:ind w:left="49" w:hanging="329"/>
      </w:pPr>
      <w:rPr>
        <w:rFonts w:hint="default"/>
        <w:lang w:val="en-US" w:eastAsia="en-US" w:bidi="en-U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43C"/>
    <w:rsid w:val="00017776"/>
    <w:rsid w:val="00072F98"/>
    <w:rsid w:val="000B5515"/>
    <w:rsid w:val="000D513D"/>
    <w:rsid w:val="000D6947"/>
    <w:rsid w:val="000E3150"/>
    <w:rsid w:val="000E7F1C"/>
    <w:rsid w:val="000F54CC"/>
    <w:rsid w:val="001211C4"/>
    <w:rsid w:val="00131B79"/>
    <w:rsid w:val="0017529C"/>
    <w:rsid w:val="001A5A87"/>
    <w:rsid w:val="001B1129"/>
    <w:rsid w:val="001B2BBC"/>
    <w:rsid w:val="001F7F7A"/>
    <w:rsid w:val="0021343C"/>
    <w:rsid w:val="00247C76"/>
    <w:rsid w:val="00281F0A"/>
    <w:rsid w:val="002B5DB2"/>
    <w:rsid w:val="002E5F95"/>
    <w:rsid w:val="003077AB"/>
    <w:rsid w:val="00340EB7"/>
    <w:rsid w:val="00357611"/>
    <w:rsid w:val="003640EF"/>
    <w:rsid w:val="0037243D"/>
    <w:rsid w:val="003B404A"/>
    <w:rsid w:val="003C53EF"/>
    <w:rsid w:val="003D68C8"/>
    <w:rsid w:val="00487129"/>
    <w:rsid w:val="004923F8"/>
    <w:rsid w:val="004951A4"/>
    <w:rsid w:val="004D6CD2"/>
    <w:rsid w:val="004F6140"/>
    <w:rsid w:val="00517C50"/>
    <w:rsid w:val="00534A41"/>
    <w:rsid w:val="005A2FEA"/>
    <w:rsid w:val="00621B6D"/>
    <w:rsid w:val="0062559D"/>
    <w:rsid w:val="006451E0"/>
    <w:rsid w:val="006627A8"/>
    <w:rsid w:val="006D2B0B"/>
    <w:rsid w:val="006D7B3A"/>
    <w:rsid w:val="007032BB"/>
    <w:rsid w:val="00724361"/>
    <w:rsid w:val="00724D4B"/>
    <w:rsid w:val="007543D5"/>
    <w:rsid w:val="007B2F4D"/>
    <w:rsid w:val="007E50AE"/>
    <w:rsid w:val="00820492"/>
    <w:rsid w:val="00833D7D"/>
    <w:rsid w:val="008411BD"/>
    <w:rsid w:val="00885AD8"/>
    <w:rsid w:val="008E268C"/>
    <w:rsid w:val="008F0A6E"/>
    <w:rsid w:val="00925B9A"/>
    <w:rsid w:val="0096284A"/>
    <w:rsid w:val="00971597"/>
    <w:rsid w:val="00986475"/>
    <w:rsid w:val="009A0B4D"/>
    <w:rsid w:val="009B3713"/>
    <w:rsid w:val="00A078C8"/>
    <w:rsid w:val="00A239A3"/>
    <w:rsid w:val="00A3701D"/>
    <w:rsid w:val="00A4485B"/>
    <w:rsid w:val="00A45639"/>
    <w:rsid w:val="00A62B27"/>
    <w:rsid w:val="00A807C9"/>
    <w:rsid w:val="00AD318A"/>
    <w:rsid w:val="00AE1105"/>
    <w:rsid w:val="00AE67B4"/>
    <w:rsid w:val="00B038B6"/>
    <w:rsid w:val="00B301A4"/>
    <w:rsid w:val="00B67F0D"/>
    <w:rsid w:val="00B826B5"/>
    <w:rsid w:val="00B91112"/>
    <w:rsid w:val="00BA0D21"/>
    <w:rsid w:val="00BA76B1"/>
    <w:rsid w:val="00BA7E56"/>
    <w:rsid w:val="00BB39BC"/>
    <w:rsid w:val="00BB58FC"/>
    <w:rsid w:val="00BC4B47"/>
    <w:rsid w:val="00BE4316"/>
    <w:rsid w:val="00C012EE"/>
    <w:rsid w:val="00C0497A"/>
    <w:rsid w:val="00C141D3"/>
    <w:rsid w:val="00C442F6"/>
    <w:rsid w:val="00C666AF"/>
    <w:rsid w:val="00C66B2E"/>
    <w:rsid w:val="00D405DD"/>
    <w:rsid w:val="00D5568E"/>
    <w:rsid w:val="00D80CCD"/>
    <w:rsid w:val="00D9173A"/>
    <w:rsid w:val="00DB53CB"/>
    <w:rsid w:val="00DC016C"/>
    <w:rsid w:val="00E10F53"/>
    <w:rsid w:val="00E2225B"/>
    <w:rsid w:val="00E337CD"/>
    <w:rsid w:val="00E80B78"/>
    <w:rsid w:val="00E87B0C"/>
    <w:rsid w:val="00E930B1"/>
    <w:rsid w:val="00EA79C3"/>
    <w:rsid w:val="00EB4F8E"/>
    <w:rsid w:val="00F0544A"/>
    <w:rsid w:val="00F10DEF"/>
    <w:rsid w:val="00F262B1"/>
    <w:rsid w:val="00F3787F"/>
    <w:rsid w:val="00F5630A"/>
    <w:rsid w:val="00F945E3"/>
    <w:rsid w:val="00FB11BB"/>
    <w:rsid w:val="00FD30C9"/>
    <w:rsid w:val="00FE1CCE"/>
    <w:rsid w:val="00FF13A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E54D05-93DE-40CC-A05D-FA93609CF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F13AF"/>
    <w:rPr>
      <w:rFonts w:ascii="Bookman Old Style" w:eastAsia="Bookman Old Style" w:hAnsi="Bookman Old Style" w:cs="Bookman Old Style"/>
      <w:lang w:val="pt-BR" w:bidi="en-US"/>
    </w:rPr>
  </w:style>
  <w:style w:type="paragraph" w:styleId="Ttulo1">
    <w:name w:val="heading 1"/>
    <w:basedOn w:val="Normal"/>
    <w:uiPriority w:val="1"/>
    <w:qFormat/>
    <w:rsid w:val="00017776"/>
    <w:pPr>
      <w:ind w:left="222"/>
      <w:outlineLvl w:val="0"/>
    </w:pPr>
    <w:rPr>
      <w:rFonts w:ascii="Arial" w:eastAsia="Arial" w:hAnsi="Arial" w:cs="Arial"/>
      <w:b/>
      <w:bCs/>
      <w:sz w:val="26"/>
      <w:szCs w:val="26"/>
      <w:lang w:val="en-US"/>
    </w:rPr>
  </w:style>
  <w:style w:type="paragraph" w:styleId="Ttulo2">
    <w:name w:val="heading 2"/>
    <w:basedOn w:val="Normal"/>
    <w:uiPriority w:val="1"/>
    <w:qFormat/>
    <w:rsid w:val="00017776"/>
    <w:pPr>
      <w:spacing w:before="201"/>
      <w:ind w:left="103"/>
      <w:outlineLvl w:val="1"/>
    </w:pPr>
    <w:rPr>
      <w:rFonts w:ascii="Times New Roman" w:eastAsia="Times New Roman" w:hAnsi="Times New Roman" w:cs="Times New Roman"/>
      <w:b/>
      <w:bCs/>
      <w:sz w:val="24"/>
      <w:szCs w:val="24"/>
      <w:lang w:val="en-US"/>
    </w:rPr>
  </w:style>
  <w:style w:type="paragraph" w:styleId="Ttulo3">
    <w:name w:val="heading 3"/>
    <w:basedOn w:val="Normal"/>
    <w:uiPriority w:val="1"/>
    <w:qFormat/>
    <w:rsid w:val="00017776"/>
    <w:pPr>
      <w:spacing w:before="15"/>
      <w:ind w:left="40"/>
      <w:outlineLvl w:val="2"/>
    </w:pPr>
    <w:rPr>
      <w:rFonts w:ascii="Arial Narrow" w:eastAsia="Arial Narrow" w:hAnsi="Arial Narrow" w:cs="Arial Narrow"/>
      <w:b/>
      <w:bCs/>
      <w:sz w:val="20"/>
      <w:szCs w:val="20"/>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017776"/>
    <w:tblPr>
      <w:tblInd w:w="0" w:type="dxa"/>
      <w:tblCellMar>
        <w:top w:w="0" w:type="dxa"/>
        <w:left w:w="0" w:type="dxa"/>
        <w:bottom w:w="0" w:type="dxa"/>
        <w:right w:w="0" w:type="dxa"/>
      </w:tblCellMar>
    </w:tblPr>
  </w:style>
  <w:style w:type="paragraph" w:styleId="Corpodetexto">
    <w:name w:val="Body Text"/>
    <w:basedOn w:val="Normal"/>
    <w:uiPriority w:val="1"/>
    <w:qFormat/>
    <w:rsid w:val="00017776"/>
    <w:rPr>
      <w:sz w:val="20"/>
      <w:szCs w:val="20"/>
      <w:lang w:val="en-US"/>
    </w:rPr>
  </w:style>
  <w:style w:type="paragraph" w:styleId="PargrafodaLista">
    <w:name w:val="List Paragraph"/>
    <w:basedOn w:val="Normal"/>
    <w:uiPriority w:val="1"/>
    <w:qFormat/>
    <w:rsid w:val="00017776"/>
    <w:pPr>
      <w:ind w:left="432" w:right="38" w:hanging="329"/>
      <w:jc w:val="both"/>
    </w:pPr>
    <w:rPr>
      <w:lang w:val="en-US"/>
    </w:rPr>
  </w:style>
  <w:style w:type="paragraph" w:customStyle="1" w:styleId="TableParagraph">
    <w:name w:val="Table Paragraph"/>
    <w:basedOn w:val="Normal"/>
    <w:uiPriority w:val="1"/>
    <w:qFormat/>
    <w:rsid w:val="00017776"/>
    <w:rPr>
      <w:lang w:val="en-US"/>
    </w:rPr>
  </w:style>
  <w:style w:type="paragraph" w:styleId="Cabealho">
    <w:name w:val="header"/>
    <w:basedOn w:val="Normal"/>
    <w:link w:val="CabealhoChar"/>
    <w:uiPriority w:val="99"/>
    <w:unhideWhenUsed/>
    <w:rsid w:val="00E87B0C"/>
    <w:pPr>
      <w:tabs>
        <w:tab w:val="center" w:pos="4252"/>
        <w:tab w:val="right" w:pos="8504"/>
      </w:tabs>
    </w:pPr>
  </w:style>
  <w:style w:type="character" w:customStyle="1" w:styleId="CabealhoChar">
    <w:name w:val="Cabeçalho Char"/>
    <w:basedOn w:val="Fontepargpadro"/>
    <w:link w:val="Cabealho"/>
    <w:uiPriority w:val="99"/>
    <w:qFormat/>
    <w:rsid w:val="00E87B0C"/>
    <w:rPr>
      <w:rFonts w:ascii="Bookman Old Style" w:eastAsia="Bookman Old Style" w:hAnsi="Bookman Old Style" w:cs="Bookman Old Style"/>
      <w:lang w:bidi="en-US"/>
    </w:rPr>
  </w:style>
  <w:style w:type="paragraph" w:styleId="Rodap">
    <w:name w:val="footer"/>
    <w:basedOn w:val="Normal"/>
    <w:link w:val="RodapChar"/>
    <w:uiPriority w:val="99"/>
    <w:unhideWhenUsed/>
    <w:rsid w:val="00E87B0C"/>
    <w:pPr>
      <w:tabs>
        <w:tab w:val="center" w:pos="4252"/>
        <w:tab w:val="right" w:pos="8504"/>
      </w:tabs>
    </w:pPr>
  </w:style>
  <w:style w:type="character" w:customStyle="1" w:styleId="RodapChar">
    <w:name w:val="Rodapé Char"/>
    <w:basedOn w:val="Fontepargpadro"/>
    <w:link w:val="Rodap"/>
    <w:uiPriority w:val="99"/>
    <w:rsid w:val="00E87B0C"/>
    <w:rPr>
      <w:rFonts w:ascii="Bookman Old Style" w:eastAsia="Bookman Old Style" w:hAnsi="Bookman Old Style" w:cs="Bookman Old Style"/>
      <w:lang w:bidi="en-US"/>
    </w:rPr>
  </w:style>
  <w:style w:type="paragraph" w:styleId="Textodenotaderodap">
    <w:name w:val="footnote text"/>
    <w:basedOn w:val="Normal"/>
    <w:link w:val="TextodenotaderodapChar"/>
    <w:uiPriority w:val="99"/>
    <w:semiHidden/>
    <w:unhideWhenUsed/>
    <w:rsid w:val="003B404A"/>
    <w:rPr>
      <w:sz w:val="20"/>
      <w:szCs w:val="20"/>
    </w:rPr>
  </w:style>
  <w:style w:type="character" w:customStyle="1" w:styleId="TextodenotaderodapChar">
    <w:name w:val="Texto de nota de rodapé Char"/>
    <w:basedOn w:val="Fontepargpadro"/>
    <w:link w:val="Textodenotaderodap"/>
    <w:uiPriority w:val="99"/>
    <w:semiHidden/>
    <w:rsid w:val="003B404A"/>
    <w:rPr>
      <w:rFonts w:ascii="Bookman Old Style" w:eastAsia="Bookman Old Style" w:hAnsi="Bookman Old Style" w:cs="Bookman Old Style"/>
      <w:sz w:val="20"/>
      <w:szCs w:val="20"/>
      <w:lang w:val="pt-BR" w:bidi="en-US"/>
    </w:rPr>
  </w:style>
  <w:style w:type="character" w:styleId="Refdenotaderodap">
    <w:name w:val="footnote reference"/>
    <w:basedOn w:val="Fontepargpadro"/>
    <w:uiPriority w:val="99"/>
    <w:semiHidden/>
    <w:unhideWhenUsed/>
    <w:rsid w:val="003B404A"/>
    <w:rPr>
      <w:vertAlign w:val="superscript"/>
    </w:rPr>
  </w:style>
  <w:style w:type="paragraph" w:styleId="NormalWeb">
    <w:name w:val="Normal (Web)"/>
    <w:basedOn w:val="Normal"/>
    <w:uiPriority w:val="99"/>
    <w:semiHidden/>
    <w:unhideWhenUsed/>
    <w:rsid w:val="00C012EE"/>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table" w:styleId="Tabelacomgrade">
    <w:name w:val="Table Grid"/>
    <w:basedOn w:val="Tabelanormal"/>
    <w:uiPriority w:val="59"/>
    <w:rsid w:val="00131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Lista1Clara1">
    <w:name w:val="Tabela de Lista 1 Clara1"/>
    <w:basedOn w:val="Tabelanormal"/>
    <w:uiPriority w:val="46"/>
    <w:rsid w:val="00131B7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gkelc">
    <w:name w:val="hgkelc"/>
    <w:basedOn w:val="Fontepargpadro"/>
    <w:rsid w:val="0096284A"/>
  </w:style>
  <w:style w:type="character" w:styleId="Hyperlink">
    <w:name w:val="Hyperlink"/>
    <w:basedOn w:val="Fontepargpadro"/>
    <w:uiPriority w:val="99"/>
    <w:unhideWhenUsed/>
    <w:rsid w:val="00BA0D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035641">
      <w:bodyDiv w:val="1"/>
      <w:marLeft w:val="0"/>
      <w:marRight w:val="0"/>
      <w:marTop w:val="0"/>
      <w:marBottom w:val="0"/>
      <w:divBdr>
        <w:top w:val="none" w:sz="0" w:space="0" w:color="auto"/>
        <w:left w:val="none" w:sz="0" w:space="0" w:color="auto"/>
        <w:bottom w:val="none" w:sz="0" w:space="0" w:color="auto"/>
        <w:right w:val="none" w:sz="0" w:space="0" w:color="auto"/>
      </w:divBdr>
    </w:div>
    <w:div w:id="1133905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gabinetecivil.goias.gov.br/leis_complementares/2011/lei_complementar_n090.ht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legisla.casacivil.go.gov.br/pesquisa_legislacao/103152/constituicao-estadual-goias"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254374961141935E-2"/>
          <c:y val="0.17592592592592593"/>
          <c:w val="0.89763742955261094"/>
          <c:h val="0.7166746864975212"/>
        </c:manualLayout>
      </c:layout>
      <c:bar3DChart>
        <c:barDir val="col"/>
        <c:grouping val="clustered"/>
        <c:varyColors val="0"/>
        <c:ser>
          <c:idx val="0"/>
          <c:order val="0"/>
          <c:tx>
            <c:strRef>
              <c:f>Plan2!$B$1</c:f>
              <c:strCache>
                <c:ptCount val="1"/>
                <c:pt idx="0">
                  <c:v>Brasil</c:v>
                </c:pt>
              </c:strCache>
            </c:strRef>
          </c:tx>
          <c:spPr>
            <a:solidFill>
              <a:schemeClr val="accent6">
                <a:lumMod val="50000"/>
              </a:schemeClr>
            </a:solidFill>
            <a:ln>
              <a:noFill/>
            </a:ln>
            <a:effectLst/>
            <a:sp3d/>
          </c:spPr>
          <c:invertIfNegative val="0"/>
          <c:cat>
            <c:numRef>
              <c:f>Plan2!$A$2:$A$33</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cat>
          <c:val>
            <c:numRef>
              <c:f>Plan2!$B$2:$B$33</c:f>
              <c:numCache>
                <c:formatCode>General</c:formatCode>
                <c:ptCount val="32"/>
                <c:pt idx="0">
                  <c:v>10</c:v>
                </c:pt>
                <c:pt idx="1">
                  <c:v>6</c:v>
                </c:pt>
                <c:pt idx="2">
                  <c:v>12</c:v>
                </c:pt>
                <c:pt idx="3">
                  <c:v>12</c:v>
                </c:pt>
                <c:pt idx="4">
                  <c:v>23</c:v>
                </c:pt>
                <c:pt idx="5">
                  <c:v>12</c:v>
                </c:pt>
                <c:pt idx="6">
                  <c:v>17</c:v>
                </c:pt>
                <c:pt idx="7">
                  <c:v>59</c:v>
                </c:pt>
                <c:pt idx="8">
                  <c:v>160</c:v>
                </c:pt>
                <c:pt idx="9">
                  <c:v>80</c:v>
                </c:pt>
                <c:pt idx="10">
                  <c:v>69</c:v>
                </c:pt>
                <c:pt idx="11">
                  <c:v>86</c:v>
                </c:pt>
                <c:pt idx="12">
                  <c:v>80</c:v>
                </c:pt>
                <c:pt idx="13">
                  <c:v>27</c:v>
                </c:pt>
                <c:pt idx="14">
                  <c:v>36</c:v>
                </c:pt>
                <c:pt idx="15">
                  <c:v>34</c:v>
                </c:pt>
                <c:pt idx="16">
                  <c:v>34</c:v>
                </c:pt>
                <c:pt idx="17">
                  <c:v>72</c:v>
                </c:pt>
                <c:pt idx="18">
                  <c:v>89</c:v>
                </c:pt>
                <c:pt idx="19">
                  <c:v>90</c:v>
                </c:pt>
                <c:pt idx="20">
                  <c:v>85</c:v>
                </c:pt>
                <c:pt idx="21">
                  <c:v>82</c:v>
                </c:pt>
                <c:pt idx="22">
                  <c:v>75</c:v>
                </c:pt>
                <c:pt idx="23">
                  <c:v>80</c:v>
                </c:pt>
                <c:pt idx="24">
                  <c:v>63</c:v>
                </c:pt>
                <c:pt idx="25">
                  <c:v>22</c:v>
                </c:pt>
                <c:pt idx="26">
                  <c:v>59</c:v>
                </c:pt>
                <c:pt idx="27">
                  <c:v>75</c:v>
                </c:pt>
                <c:pt idx="28">
                  <c:v>64</c:v>
                </c:pt>
                <c:pt idx="29">
                  <c:v>41</c:v>
                </c:pt>
                <c:pt idx="30">
                  <c:v>26</c:v>
                </c:pt>
                <c:pt idx="31">
                  <c:v>12</c:v>
                </c:pt>
              </c:numCache>
            </c:numRef>
          </c:val>
        </c:ser>
        <c:dLbls>
          <c:showLegendKey val="0"/>
          <c:showVal val="0"/>
          <c:showCatName val="0"/>
          <c:showSerName val="0"/>
          <c:showPercent val="0"/>
          <c:showBubbleSize val="0"/>
        </c:dLbls>
        <c:gapWidth val="150"/>
        <c:shape val="box"/>
        <c:axId val="662808936"/>
        <c:axId val="662808544"/>
        <c:axId val="0"/>
      </c:bar3DChart>
      <c:catAx>
        <c:axId val="6628089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662808544"/>
        <c:crosses val="autoZero"/>
        <c:auto val="1"/>
        <c:lblAlgn val="ctr"/>
        <c:lblOffset val="100"/>
        <c:noMultiLvlLbl val="0"/>
      </c:catAx>
      <c:valAx>
        <c:axId val="662808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662808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3">
                <a:lumMod val="75000"/>
              </a:schemeClr>
            </a:solidFill>
            <a:ln>
              <a:noFill/>
            </a:ln>
            <a:effectLst/>
            <a:sp3d/>
          </c:spPr>
          <c:invertIfNegative val="0"/>
          <c:cat>
            <c:numRef>
              <c:f>Plan2!$A$2:$A$33</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cat>
          <c:val>
            <c:numRef>
              <c:f>Plan2!$C$2:$C$33</c:f>
              <c:numCache>
                <c:formatCode>General</c:formatCode>
                <c:ptCount val="32"/>
                <c:pt idx="0">
                  <c:v>1</c:v>
                </c:pt>
                <c:pt idx="1">
                  <c:v>1</c:v>
                </c:pt>
                <c:pt idx="2">
                  <c:v>2</c:v>
                </c:pt>
                <c:pt idx="4">
                  <c:v>2</c:v>
                </c:pt>
                <c:pt idx="5">
                  <c:v>1</c:v>
                </c:pt>
                <c:pt idx="6">
                  <c:v>2</c:v>
                </c:pt>
                <c:pt idx="7">
                  <c:v>4</c:v>
                </c:pt>
                <c:pt idx="8">
                  <c:v>7</c:v>
                </c:pt>
                <c:pt idx="9">
                  <c:v>3</c:v>
                </c:pt>
                <c:pt idx="10">
                  <c:v>4</c:v>
                </c:pt>
                <c:pt idx="11">
                  <c:v>8</c:v>
                </c:pt>
                <c:pt idx="12">
                  <c:v>3</c:v>
                </c:pt>
                <c:pt idx="15">
                  <c:v>4</c:v>
                </c:pt>
                <c:pt idx="16">
                  <c:v>3</c:v>
                </c:pt>
                <c:pt idx="17">
                  <c:v>1</c:v>
                </c:pt>
                <c:pt idx="19">
                  <c:v>2</c:v>
                </c:pt>
                <c:pt idx="21">
                  <c:v>2</c:v>
                </c:pt>
                <c:pt idx="22">
                  <c:v>1</c:v>
                </c:pt>
                <c:pt idx="23">
                  <c:v>6</c:v>
                </c:pt>
                <c:pt idx="24">
                  <c:v>1</c:v>
                </c:pt>
                <c:pt idx="25">
                  <c:v>2</c:v>
                </c:pt>
                <c:pt idx="26">
                  <c:v>5</c:v>
                </c:pt>
                <c:pt idx="27">
                  <c:v>16</c:v>
                </c:pt>
                <c:pt idx="28">
                  <c:v>2</c:v>
                </c:pt>
                <c:pt idx="29">
                  <c:v>8</c:v>
                </c:pt>
                <c:pt idx="30">
                  <c:v>2</c:v>
                </c:pt>
                <c:pt idx="31">
                  <c:v>4</c:v>
                </c:pt>
              </c:numCache>
            </c:numRef>
          </c:val>
        </c:ser>
        <c:dLbls>
          <c:showLegendKey val="0"/>
          <c:showVal val="0"/>
          <c:showCatName val="0"/>
          <c:showSerName val="0"/>
          <c:showPercent val="0"/>
          <c:showBubbleSize val="0"/>
        </c:dLbls>
        <c:gapWidth val="150"/>
        <c:shape val="box"/>
        <c:axId val="662810112"/>
        <c:axId val="662807368"/>
        <c:axId val="0"/>
      </c:bar3DChart>
      <c:catAx>
        <c:axId val="662810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662807368"/>
        <c:crosses val="autoZero"/>
        <c:auto val="1"/>
        <c:lblAlgn val="ctr"/>
        <c:lblOffset val="100"/>
        <c:noMultiLvlLbl val="0"/>
      </c:catAx>
      <c:valAx>
        <c:axId val="662807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662810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numRef>
              <c:f>Plan2!$A$2:$A$33</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cat>
          <c:val>
            <c:numRef>
              <c:f>Plan2!$D$2:$D$33</c:f>
              <c:numCache>
                <c:formatCode>General</c:formatCode>
                <c:ptCount val="32"/>
                <c:pt idx="0">
                  <c:v>1</c:v>
                </c:pt>
                <c:pt idx="5">
                  <c:v>1</c:v>
                </c:pt>
                <c:pt idx="6">
                  <c:v>1</c:v>
                </c:pt>
                <c:pt idx="8">
                  <c:v>2</c:v>
                </c:pt>
                <c:pt idx="19">
                  <c:v>1</c:v>
                </c:pt>
                <c:pt idx="21">
                  <c:v>1</c:v>
                </c:pt>
                <c:pt idx="29">
                  <c:v>7</c:v>
                </c:pt>
                <c:pt idx="31">
                  <c:v>2</c:v>
                </c:pt>
              </c:numCache>
            </c:numRef>
          </c:val>
        </c:ser>
        <c:dLbls>
          <c:showLegendKey val="0"/>
          <c:showVal val="0"/>
          <c:showCatName val="0"/>
          <c:showSerName val="0"/>
          <c:showPercent val="0"/>
          <c:showBubbleSize val="0"/>
        </c:dLbls>
        <c:gapWidth val="150"/>
        <c:shape val="box"/>
        <c:axId val="666176832"/>
        <c:axId val="666177224"/>
        <c:axId val="0"/>
      </c:bar3DChart>
      <c:catAx>
        <c:axId val="6661768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666177224"/>
        <c:crosses val="autoZero"/>
        <c:auto val="1"/>
        <c:lblAlgn val="ctr"/>
        <c:lblOffset val="100"/>
        <c:noMultiLvlLbl val="0"/>
      </c:catAx>
      <c:valAx>
        <c:axId val="666177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666176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E0B55-9908-4D07-BA84-226F099F7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12</Pages>
  <Words>3666</Words>
  <Characters>19801</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Participação Social, Ética e Sustetabilidade</vt:lpstr>
    </vt:vector>
  </TitlesOfParts>
  <Company/>
  <LinksUpToDate>false</LinksUpToDate>
  <CharactersWithSpaces>23421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Participação Social, Ética e Sustetabilidade</dc:title>
  <dc:creator>Ronei</dc:creator>
  <cp:lastModifiedBy>Amanda Barbosa Rêgo</cp:lastModifiedBy>
  <cp:revision>4</cp:revision>
  <cp:lastPrinted>2021-02-26T01:55:00Z</cp:lastPrinted>
  <dcterms:created xsi:type="dcterms:W3CDTF">2021-07-15T00:12:00Z</dcterms:created>
  <dcterms:modified xsi:type="dcterms:W3CDTF">2021-07-16T11:42:00Z</dcterms:modified>
</cp:coreProperties>
</file>